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A6C" w:rsidRDefault="00277A6C" w:rsidP="007B7B87">
      <w:pPr>
        <w:spacing w:after="0" w:line="240" w:lineRule="auto"/>
        <w:jc w:val="both"/>
        <w:rPr>
          <w:rFonts w:ascii="Trebuchet MS" w:hAnsi="Trebuchet MS" w:cs="Arial"/>
          <w:b/>
          <w:color w:val="000000" w:themeColor="text1"/>
          <w:sz w:val="24"/>
          <w:szCs w:val="24"/>
        </w:rPr>
      </w:pPr>
      <w:r w:rsidRPr="00277A6C">
        <w:rPr>
          <w:rFonts w:ascii="Trebuchet MS" w:hAnsi="Trebuchet MS" w:cs="Arial"/>
          <w:color w:val="000000" w:themeColor="text1"/>
          <w:sz w:val="24"/>
          <w:szCs w:val="24"/>
        </w:rPr>
        <w:t xml:space="preserve">   </w:t>
      </w:r>
      <w:r w:rsidR="00A82CE2" w:rsidRPr="00277A6C">
        <w:rPr>
          <w:rFonts w:ascii="Trebuchet MS" w:hAnsi="Trebuchet MS" w:cs="Arial"/>
          <w:b/>
          <w:color w:val="000000" w:themeColor="text1"/>
          <w:sz w:val="24"/>
          <w:szCs w:val="24"/>
          <w:u w:val="single"/>
        </w:rPr>
        <w:t>Ansamblurile rezidențiale</w:t>
      </w:r>
      <w:r w:rsidR="00A82CE2" w:rsidRPr="00277A6C">
        <w:rPr>
          <w:rFonts w:ascii="Trebuchet MS" w:hAnsi="Trebuchet MS" w:cs="Arial"/>
          <w:b/>
          <w:color w:val="000000" w:themeColor="text1"/>
          <w:sz w:val="24"/>
          <w:szCs w:val="24"/>
        </w:rPr>
        <w:t xml:space="preserve"> </w:t>
      </w:r>
    </w:p>
    <w:p w:rsidR="00277A6C" w:rsidRDefault="00277A6C" w:rsidP="007B7B87">
      <w:pPr>
        <w:spacing w:after="0" w:line="240" w:lineRule="auto"/>
        <w:jc w:val="both"/>
        <w:rPr>
          <w:rFonts w:ascii="Trebuchet MS" w:hAnsi="Trebuchet MS" w:cs="Arial"/>
          <w:b/>
          <w:color w:val="000000" w:themeColor="text1"/>
          <w:sz w:val="24"/>
          <w:szCs w:val="24"/>
        </w:rPr>
      </w:pPr>
    </w:p>
    <w:p w:rsidR="001E6464" w:rsidRPr="00277A6C" w:rsidRDefault="00277A6C" w:rsidP="00277A6C">
      <w:pPr>
        <w:pStyle w:val="ListParagraph"/>
        <w:numPr>
          <w:ilvl w:val="0"/>
          <w:numId w:val="32"/>
        </w:numPr>
        <w:spacing w:after="0" w:line="240" w:lineRule="auto"/>
        <w:jc w:val="both"/>
        <w:rPr>
          <w:rFonts w:ascii="Trebuchet MS" w:hAnsi="Trebuchet MS" w:cs="Arial"/>
          <w:b/>
          <w:i/>
          <w:color w:val="000000" w:themeColor="text1"/>
          <w:sz w:val="24"/>
          <w:szCs w:val="24"/>
        </w:rPr>
      </w:pPr>
      <w:r w:rsidRPr="00277A6C">
        <w:rPr>
          <w:rFonts w:ascii="Trebuchet MS" w:hAnsi="Trebuchet MS" w:cs="Arial"/>
          <w:b/>
          <w:i/>
          <w:color w:val="000000" w:themeColor="text1"/>
          <w:sz w:val="24"/>
          <w:szCs w:val="24"/>
        </w:rPr>
        <w:t xml:space="preserve">Extras din </w:t>
      </w:r>
      <w:r w:rsidR="00CC090A" w:rsidRPr="00277A6C">
        <w:rPr>
          <w:rFonts w:ascii="Trebuchet MS" w:hAnsi="Trebuchet MS" w:cs="Arial"/>
          <w:b/>
          <w:i/>
          <w:color w:val="000000" w:themeColor="text1"/>
          <w:sz w:val="24"/>
          <w:szCs w:val="24"/>
        </w:rPr>
        <w:t xml:space="preserve">Legea nr. 196/2018 </w:t>
      </w:r>
      <w:r w:rsidR="00F967F5" w:rsidRPr="00277A6C">
        <w:rPr>
          <w:rFonts w:ascii="Trebuchet MS" w:hAnsi="Trebuchet MS" w:cs="Arial"/>
          <w:b/>
          <w:bCs/>
          <w:i/>
          <w:color w:val="000000" w:themeColor="text1"/>
          <w:sz w:val="24"/>
          <w:szCs w:val="24"/>
          <w:shd w:val="clear" w:color="auto" w:fill="FFFFFF"/>
        </w:rPr>
        <w:t xml:space="preserve">privind înfiinţarea, organizarea şi funcţionarea asociaţiilor de proprietari şi administrarea </w:t>
      </w:r>
      <w:proofErr w:type="spellStart"/>
      <w:r w:rsidR="00F967F5" w:rsidRPr="00277A6C">
        <w:rPr>
          <w:rFonts w:ascii="Trebuchet MS" w:hAnsi="Trebuchet MS" w:cs="Arial"/>
          <w:b/>
          <w:bCs/>
          <w:i/>
          <w:color w:val="000000" w:themeColor="text1"/>
          <w:sz w:val="24"/>
          <w:szCs w:val="24"/>
          <w:shd w:val="clear" w:color="auto" w:fill="FFFFFF"/>
        </w:rPr>
        <w:t>condominiilor</w:t>
      </w:r>
      <w:proofErr w:type="spellEnd"/>
    </w:p>
    <w:p w:rsidR="00A82CE2" w:rsidRPr="00277A6C" w:rsidRDefault="00A82CE2" w:rsidP="007B7B87">
      <w:pPr>
        <w:spacing w:after="0" w:line="240" w:lineRule="auto"/>
        <w:jc w:val="both"/>
        <w:rPr>
          <w:rFonts w:ascii="Trebuchet MS" w:hAnsi="Trebuchet MS" w:cs="Arial"/>
          <w:b/>
          <w:color w:val="000000" w:themeColor="text1"/>
          <w:sz w:val="24"/>
          <w:szCs w:val="24"/>
        </w:rPr>
      </w:pPr>
    </w:p>
    <w:p w:rsidR="00F967F5" w:rsidRPr="00277A6C" w:rsidRDefault="00CC090A" w:rsidP="00C35FE4">
      <w:pPr>
        <w:spacing w:after="0" w:line="240" w:lineRule="auto"/>
        <w:jc w:val="both"/>
        <w:rPr>
          <w:rFonts w:ascii="Trebuchet MS" w:hAnsi="Trebuchet MS" w:cs="Arial"/>
          <w:color w:val="000000" w:themeColor="text1"/>
          <w:sz w:val="24"/>
          <w:szCs w:val="24"/>
        </w:rPr>
      </w:pPr>
      <w:r w:rsidRPr="00277A6C">
        <w:rPr>
          <w:rFonts w:ascii="Trebuchet MS" w:hAnsi="Trebuchet MS" w:cs="Courier New"/>
          <w:color w:val="000000" w:themeColor="text1"/>
          <w:sz w:val="24"/>
          <w:szCs w:val="24"/>
        </w:rPr>
        <w:t xml:space="preserve">    </w:t>
      </w:r>
      <w:r w:rsidRPr="00277A6C">
        <w:rPr>
          <w:rFonts w:ascii="Trebuchet MS" w:hAnsi="Trebuchet MS" w:cs="Arial"/>
          <w:color w:val="000000" w:themeColor="text1"/>
          <w:sz w:val="24"/>
          <w:szCs w:val="24"/>
        </w:rPr>
        <w:t>Proprietarii/Dezvoltatorii ansamblurilor rezidenţiale au obligaţia să asigure furnizarea/prestarea serviciilor de utilităţi publice către toţi utilizatorii din ansamblul rezidenţial în baza contractelor de furnizare/prestare întocmite cu respectarea clauzelor din contractele-cadru elaborate de către autoritatea de reglementare competentă.</w:t>
      </w:r>
      <w:r w:rsidRPr="00277A6C">
        <w:rPr>
          <w:rFonts w:ascii="Trebuchet MS" w:hAnsi="Trebuchet MS" w:cs="Arial"/>
          <w:color w:val="000000" w:themeColor="text1"/>
          <w:sz w:val="24"/>
          <w:szCs w:val="24"/>
        </w:rPr>
        <w:br/>
      </w:r>
      <w:r w:rsidRPr="00277A6C">
        <w:rPr>
          <w:rFonts w:ascii="Trebuchet MS" w:hAnsi="Arial" w:cs="Arial"/>
          <w:color w:val="000000" w:themeColor="text1"/>
          <w:sz w:val="24"/>
          <w:szCs w:val="24"/>
        </w:rPr>
        <w:t> </w:t>
      </w:r>
      <w:r w:rsidRPr="00277A6C">
        <w:rPr>
          <w:rFonts w:ascii="Trebuchet MS" w:hAnsi="Arial" w:cs="Arial"/>
          <w:color w:val="000000" w:themeColor="text1"/>
          <w:sz w:val="24"/>
          <w:szCs w:val="24"/>
        </w:rPr>
        <w:t> </w:t>
      </w:r>
      <w:r w:rsidRPr="00277A6C">
        <w:rPr>
          <w:rFonts w:ascii="Trebuchet MS" w:hAnsi="Trebuchet MS" w:cs="Arial"/>
          <w:color w:val="000000" w:themeColor="text1"/>
          <w:sz w:val="24"/>
          <w:szCs w:val="24"/>
        </w:rPr>
        <w:t xml:space="preserve">  În ansamblurile rezidenţiale calitatea de utilizator, titular al contractului de furnizare/prestare servicii de utilităţi publice, revine:</w:t>
      </w:r>
    </w:p>
    <w:p w:rsidR="00CC090A" w:rsidRPr="00277A6C" w:rsidRDefault="00CC090A" w:rsidP="00C35FE4">
      <w:pPr>
        <w:spacing w:after="0" w:line="240" w:lineRule="auto"/>
        <w:jc w:val="both"/>
        <w:rPr>
          <w:rFonts w:ascii="Trebuchet MS" w:hAnsi="Trebuchet MS" w:cs="Arial"/>
          <w:color w:val="000000" w:themeColor="text1"/>
          <w:sz w:val="24"/>
          <w:szCs w:val="24"/>
        </w:rPr>
      </w:pPr>
      <w:r w:rsidRPr="00277A6C">
        <w:rPr>
          <w:rFonts w:ascii="Trebuchet MS" w:hAnsi="Trebuchet MS" w:cs="Arial"/>
          <w:color w:val="000000" w:themeColor="text1"/>
          <w:sz w:val="24"/>
          <w:szCs w:val="24"/>
        </w:rPr>
        <w:br/>
      </w:r>
      <w:r w:rsidRPr="00277A6C">
        <w:rPr>
          <w:rFonts w:ascii="Trebuchet MS" w:hAnsi="Arial" w:cs="Arial"/>
          <w:b/>
          <w:color w:val="000000" w:themeColor="text1"/>
          <w:sz w:val="24"/>
          <w:szCs w:val="24"/>
        </w:rPr>
        <w:t> </w:t>
      </w:r>
      <w:r w:rsidRPr="00277A6C">
        <w:rPr>
          <w:rFonts w:ascii="Trebuchet MS" w:hAnsi="Arial" w:cs="Arial"/>
          <w:b/>
          <w:color w:val="000000" w:themeColor="text1"/>
          <w:sz w:val="24"/>
          <w:szCs w:val="24"/>
        </w:rPr>
        <w:t> </w:t>
      </w:r>
      <w:r w:rsidRPr="00277A6C">
        <w:rPr>
          <w:rFonts w:ascii="Trebuchet MS" w:hAnsi="Trebuchet MS" w:cs="Arial"/>
          <w:b/>
          <w:color w:val="000000" w:themeColor="text1"/>
          <w:sz w:val="24"/>
          <w:szCs w:val="24"/>
        </w:rPr>
        <w:t>a)</w:t>
      </w:r>
      <w:r w:rsidRPr="00277A6C">
        <w:rPr>
          <w:rFonts w:ascii="Trebuchet MS" w:hAnsi="Trebuchet MS" w:cs="Arial"/>
          <w:color w:val="000000" w:themeColor="text1"/>
          <w:sz w:val="24"/>
          <w:szCs w:val="24"/>
        </w:rPr>
        <w:t xml:space="preserve"> </w:t>
      </w:r>
      <w:r w:rsidRPr="00277A6C">
        <w:rPr>
          <w:rFonts w:ascii="Trebuchet MS" w:hAnsi="Trebuchet MS" w:cs="Arial"/>
          <w:b/>
          <w:color w:val="000000" w:themeColor="text1"/>
          <w:sz w:val="24"/>
          <w:szCs w:val="24"/>
        </w:rPr>
        <w:t>asociaţiei de proprietari constituită la nivelul întregului ansamblu rezidenţial</w:t>
      </w:r>
      <w:r w:rsidRPr="00277A6C">
        <w:rPr>
          <w:rFonts w:ascii="Trebuchet MS" w:hAnsi="Trebuchet MS" w:cs="Arial"/>
          <w:color w:val="000000" w:themeColor="text1"/>
          <w:sz w:val="24"/>
          <w:szCs w:val="24"/>
        </w:rPr>
        <w:t>, în cazul în care instalaţiile aflate în proprietatea sau administrarea furnizorului se branşează/ racordează la instalaţiile comune interioare ale ansamblului rezidenţial aflate în proprietatea comună a tuturor proprietarilor din ansamblul rezidenţial;</w:t>
      </w:r>
      <w:r w:rsidRPr="00277A6C">
        <w:rPr>
          <w:rFonts w:ascii="Trebuchet MS" w:hAnsi="Trebuchet MS" w:cs="Arial"/>
          <w:color w:val="000000" w:themeColor="text1"/>
          <w:sz w:val="24"/>
          <w:szCs w:val="24"/>
        </w:rPr>
        <w:br/>
      </w:r>
      <w:r w:rsidRPr="00277A6C">
        <w:rPr>
          <w:rFonts w:ascii="Trebuchet MS" w:hAnsi="Arial" w:cs="Arial"/>
          <w:color w:val="000000" w:themeColor="text1"/>
          <w:sz w:val="24"/>
          <w:szCs w:val="24"/>
        </w:rPr>
        <w:t> </w:t>
      </w:r>
      <w:r w:rsidRPr="00277A6C">
        <w:rPr>
          <w:rFonts w:ascii="Trebuchet MS" w:hAnsi="Arial" w:cs="Arial"/>
          <w:color w:val="000000" w:themeColor="text1"/>
          <w:sz w:val="24"/>
          <w:szCs w:val="24"/>
        </w:rPr>
        <w:t> </w:t>
      </w:r>
      <w:r w:rsidRPr="00277A6C">
        <w:rPr>
          <w:rFonts w:ascii="Trebuchet MS" w:hAnsi="Trebuchet MS" w:cs="Arial"/>
          <w:b/>
          <w:color w:val="000000" w:themeColor="text1"/>
          <w:sz w:val="24"/>
          <w:szCs w:val="24"/>
        </w:rPr>
        <w:t>b)</w:t>
      </w:r>
      <w:r w:rsidRPr="00277A6C">
        <w:rPr>
          <w:rFonts w:ascii="Trebuchet MS" w:hAnsi="Trebuchet MS" w:cs="Arial"/>
          <w:color w:val="000000" w:themeColor="text1"/>
          <w:sz w:val="24"/>
          <w:szCs w:val="24"/>
        </w:rPr>
        <w:t xml:space="preserve"> </w:t>
      </w:r>
      <w:r w:rsidRPr="00277A6C">
        <w:rPr>
          <w:rFonts w:ascii="Trebuchet MS" w:hAnsi="Trebuchet MS" w:cs="Arial"/>
          <w:b/>
          <w:color w:val="000000" w:themeColor="text1"/>
          <w:sz w:val="24"/>
          <w:szCs w:val="24"/>
        </w:rPr>
        <w:t>proprietarului/dezvoltatorului ansamblului rezidenţial</w:t>
      </w:r>
      <w:r w:rsidRPr="00277A6C">
        <w:rPr>
          <w:rFonts w:ascii="Trebuchet MS" w:hAnsi="Trebuchet MS" w:cs="Arial"/>
          <w:color w:val="000000" w:themeColor="text1"/>
          <w:sz w:val="24"/>
          <w:szCs w:val="24"/>
        </w:rPr>
        <w:t>, în cazul în care instalaţiile aflate în proprietatea sau administrarea furnizorului se branşează/racordează la instalaţiile aflate în proprietatea proprietarului/dezvoltatorului ansamblului rezidenţial;</w:t>
      </w:r>
    </w:p>
    <w:p w:rsidR="00277A6C" w:rsidRDefault="00CC090A" w:rsidP="00C35FE4">
      <w:pPr>
        <w:spacing w:after="0" w:line="240" w:lineRule="auto"/>
        <w:jc w:val="both"/>
        <w:rPr>
          <w:rFonts w:ascii="Trebuchet MS" w:hAnsi="Trebuchet MS" w:cs="Arial"/>
          <w:color w:val="000000" w:themeColor="text1"/>
          <w:sz w:val="24"/>
          <w:szCs w:val="24"/>
        </w:rPr>
      </w:pPr>
      <w:r w:rsidRPr="00277A6C">
        <w:rPr>
          <w:rFonts w:ascii="Trebuchet MS" w:hAnsi="Arial" w:cs="Arial"/>
          <w:color w:val="000000" w:themeColor="text1"/>
          <w:sz w:val="24"/>
          <w:szCs w:val="24"/>
        </w:rPr>
        <w:t> </w:t>
      </w:r>
      <w:r w:rsidRPr="00277A6C">
        <w:rPr>
          <w:rFonts w:ascii="Trebuchet MS" w:hAnsi="Arial" w:cs="Arial"/>
          <w:color w:val="000000" w:themeColor="text1"/>
          <w:sz w:val="24"/>
          <w:szCs w:val="24"/>
        </w:rPr>
        <w:t> </w:t>
      </w:r>
      <w:r w:rsidRPr="00277A6C">
        <w:rPr>
          <w:rFonts w:ascii="Trebuchet MS" w:hAnsi="Trebuchet MS" w:cs="Arial"/>
          <w:b/>
          <w:color w:val="000000" w:themeColor="text1"/>
          <w:sz w:val="24"/>
          <w:szCs w:val="24"/>
        </w:rPr>
        <w:t>c)</w:t>
      </w:r>
      <w:r w:rsidRPr="00277A6C">
        <w:rPr>
          <w:rFonts w:ascii="Trebuchet MS" w:hAnsi="Trebuchet MS" w:cs="Arial"/>
          <w:color w:val="000000" w:themeColor="text1"/>
          <w:sz w:val="24"/>
          <w:szCs w:val="24"/>
        </w:rPr>
        <w:t xml:space="preserve"> </w:t>
      </w:r>
      <w:r w:rsidRPr="00277A6C">
        <w:rPr>
          <w:rFonts w:ascii="Trebuchet MS" w:hAnsi="Trebuchet MS" w:cs="Arial"/>
          <w:b/>
          <w:color w:val="000000" w:themeColor="text1"/>
          <w:sz w:val="24"/>
          <w:szCs w:val="24"/>
        </w:rPr>
        <w:t>asociaţiei de proprietari constituită la nivelul unui condominiu de tip bloc,</w:t>
      </w:r>
      <w:r w:rsidRPr="00277A6C">
        <w:rPr>
          <w:rFonts w:ascii="Trebuchet MS" w:hAnsi="Trebuchet MS" w:cs="Arial"/>
          <w:color w:val="000000" w:themeColor="text1"/>
          <w:sz w:val="24"/>
          <w:szCs w:val="24"/>
        </w:rPr>
        <w:t xml:space="preserve"> în cazul în care instalaţiile aflate în proprietatea sau administrarea furnizorului se branşează/ racordează la instalaţiile comune interioare ale condominiului de tip bloc aflate în proprietatea comună a tuturor proprietarilor din acel condominiu de tip bloc;</w:t>
      </w:r>
      <w:r w:rsidRPr="00277A6C">
        <w:rPr>
          <w:rFonts w:ascii="Trebuchet MS" w:hAnsi="Trebuchet MS" w:cs="Arial"/>
          <w:color w:val="000000" w:themeColor="text1"/>
          <w:sz w:val="24"/>
          <w:szCs w:val="24"/>
        </w:rPr>
        <w:br/>
      </w:r>
      <w:r w:rsidRPr="00277A6C">
        <w:rPr>
          <w:rFonts w:ascii="Trebuchet MS" w:hAnsi="Arial" w:cs="Arial"/>
          <w:b/>
          <w:color w:val="000000" w:themeColor="text1"/>
          <w:sz w:val="24"/>
          <w:szCs w:val="24"/>
        </w:rPr>
        <w:t> </w:t>
      </w:r>
      <w:r w:rsidRPr="00277A6C">
        <w:rPr>
          <w:rFonts w:ascii="Trebuchet MS" w:hAnsi="Arial" w:cs="Arial"/>
          <w:b/>
          <w:color w:val="000000" w:themeColor="text1"/>
          <w:sz w:val="24"/>
          <w:szCs w:val="24"/>
        </w:rPr>
        <w:t> </w:t>
      </w:r>
      <w:r w:rsidRPr="00277A6C">
        <w:rPr>
          <w:rFonts w:ascii="Trebuchet MS" w:hAnsi="Trebuchet MS" w:cs="Arial"/>
          <w:b/>
          <w:color w:val="000000" w:themeColor="text1"/>
          <w:sz w:val="24"/>
          <w:szCs w:val="24"/>
        </w:rPr>
        <w:t>d)</w:t>
      </w:r>
      <w:r w:rsidRPr="00277A6C">
        <w:rPr>
          <w:rFonts w:ascii="Trebuchet MS" w:hAnsi="Trebuchet MS" w:cs="Arial"/>
          <w:color w:val="000000" w:themeColor="text1"/>
          <w:sz w:val="24"/>
          <w:szCs w:val="24"/>
        </w:rPr>
        <w:t xml:space="preserve"> </w:t>
      </w:r>
      <w:r w:rsidRPr="00277A6C">
        <w:rPr>
          <w:rFonts w:ascii="Trebuchet MS" w:hAnsi="Trebuchet MS" w:cs="Arial"/>
          <w:b/>
          <w:color w:val="000000" w:themeColor="text1"/>
          <w:sz w:val="24"/>
          <w:szCs w:val="24"/>
        </w:rPr>
        <w:t>proprietarului</w:t>
      </w:r>
      <w:r w:rsidRPr="00277A6C">
        <w:rPr>
          <w:rFonts w:ascii="Trebuchet MS" w:hAnsi="Trebuchet MS" w:cs="Arial"/>
          <w:color w:val="000000" w:themeColor="text1"/>
          <w:sz w:val="24"/>
          <w:szCs w:val="24"/>
        </w:rPr>
        <w:t>, în cazul în care instalaţiile aflate în proprietatea sau administrarea furnizorului se branşează/ racordează direct la instalaţiile interioare ce aparţin proprietăţii individuale.</w:t>
      </w:r>
    </w:p>
    <w:p w:rsidR="00CC090A" w:rsidRPr="00277A6C" w:rsidRDefault="00CC090A" w:rsidP="00C35FE4">
      <w:pPr>
        <w:spacing w:after="0" w:line="240" w:lineRule="auto"/>
        <w:jc w:val="both"/>
        <w:rPr>
          <w:rFonts w:ascii="Trebuchet MS" w:hAnsi="Trebuchet MS" w:cs="Arial"/>
          <w:b/>
          <w:color w:val="000000" w:themeColor="text1"/>
          <w:sz w:val="24"/>
          <w:szCs w:val="24"/>
        </w:rPr>
      </w:pPr>
      <w:r w:rsidRPr="00277A6C">
        <w:rPr>
          <w:rFonts w:ascii="Trebuchet MS" w:hAnsi="Trebuchet MS" w:cs="Arial"/>
          <w:color w:val="000000" w:themeColor="text1"/>
          <w:sz w:val="24"/>
          <w:szCs w:val="24"/>
        </w:rPr>
        <w:br/>
      </w:r>
      <w:r w:rsidRPr="00277A6C">
        <w:rPr>
          <w:rFonts w:ascii="Trebuchet MS" w:hAnsi="Arial" w:cs="Arial"/>
          <w:color w:val="000000" w:themeColor="text1"/>
          <w:sz w:val="24"/>
          <w:szCs w:val="24"/>
        </w:rPr>
        <w:t> </w:t>
      </w:r>
      <w:r w:rsidRPr="00277A6C">
        <w:rPr>
          <w:rFonts w:ascii="Trebuchet MS" w:hAnsi="Arial" w:cs="Arial"/>
          <w:color w:val="000000" w:themeColor="text1"/>
          <w:sz w:val="24"/>
          <w:szCs w:val="24"/>
        </w:rPr>
        <w:t> </w:t>
      </w:r>
      <w:r w:rsidRPr="00277A6C">
        <w:rPr>
          <w:rFonts w:ascii="Trebuchet MS" w:hAnsi="Trebuchet MS" w:cs="Arial"/>
          <w:color w:val="000000" w:themeColor="text1"/>
          <w:sz w:val="24"/>
          <w:szCs w:val="24"/>
        </w:rPr>
        <w:t xml:space="preserve"> În situaţiile prevăzute la lit. a) şi b), asociaţia de proprietari constituită la nivelul ansamblului rezidenţial, respectiv proprietarul/dezvoltatorul ansamblului rezidenţial </w:t>
      </w:r>
      <w:r w:rsidRPr="00277A6C">
        <w:rPr>
          <w:rFonts w:ascii="Trebuchet MS" w:hAnsi="Trebuchet MS" w:cs="Arial"/>
          <w:b/>
          <w:color w:val="000000" w:themeColor="text1"/>
          <w:sz w:val="24"/>
          <w:szCs w:val="24"/>
        </w:rPr>
        <w:t>predă autorităţii administraţiei publice locale, în termen de 6 luni de la finalizarea lucrărilor de construcţii, cu titlu gratuit, reţelele comune şi terenul aferent până la branşamentele imobilelor din ansamblul rezidenţial, în vederea preluării în administrare şi exploatare a acestor reţele de către furnizorul care asigură aceste servicii în unitatea administrativ-teritorială respectivă. În cazul asociaţilor de proprietari constituite la nivelul ansamblurilor rezidenţiale, decizia de predare în administrare se face cu acordul scris al tuturor proprietarilor.</w:t>
      </w:r>
    </w:p>
    <w:p w:rsidR="00CC090A" w:rsidRPr="00277A6C" w:rsidRDefault="00CC090A" w:rsidP="00C35FE4">
      <w:pPr>
        <w:spacing w:after="0" w:line="240" w:lineRule="auto"/>
        <w:jc w:val="both"/>
        <w:rPr>
          <w:rFonts w:ascii="Trebuchet MS" w:hAnsi="Trebuchet MS" w:cs="Arial"/>
          <w:b/>
          <w:color w:val="000000" w:themeColor="text1"/>
          <w:sz w:val="24"/>
          <w:szCs w:val="24"/>
        </w:rPr>
      </w:pPr>
      <w:r w:rsidRPr="00277A6C">
        <w:rPr>
          <w:rFonts w:ascii="Trebuchet MS" w:hAnsi="Arial" w:cs="Arial"/>
          <w:color w:val="000000" w:themeColor="text1"/>
          <w:sz w:val="24"/>
          <w:szCs w:val="24"/>
        </w:rPr>
        <w:t> </w:t>
      </w:r>
      <w:r w:rsidRPr="00277A6C">
        <w:rPr>
          <w:rFonts w:ascii="Trebuchet MS" w:hAnsi="Arial" w:cs="Arial"/>
          <w:color w:val="000000" w:themeColor="text1"/>
          <w:sz w:val="24"/>
          <w:szCs w:val="24"/>
        </w:rPr>
        <w:t> </w:t>
      </w:r>
      <w:r w:rsidRPr="00277A6C">
        <w:rPr>
          <w:rFonts w:ascii="Trebuchet MS" w:hAnsi="Trebuchet MS" w:cs="Arial"/>
          <w:color w:val="000000" w:themeColor="text1"/>
          <w:sz w:val="24"/>
          <w:szCs w:val="24"/>
        </w:rPr>
        <w:t xml:space="preserve"> În cazul ansamblurilor rezidenţiale finalizate la data intrării în vigoare a </w:t>
      </w:r>
      <w:r w:rsidR="00277A6C">
        <w:rPr>
          <w:rFonts w:ascii="Trebuchet MS" w:hAnsi="Trebuchet MS" w:cs="Arial"/>
          <w:color w:val="000000" w:themeColor="text1"/>
          <w:sz w:val="24"/>
          <w:szCs w:val="24"/>
        </w:rPr>
        <w:t xml:space="preserve">legii </w:t>
      </w:r>
      <w:r w:rsidRPr="00277A6C">
        <w:rPr>
          <w:rFonts w:ascii="Trebuchet MS" w:hAnsi="Trebuchet MS" w:cs="Arial"/>
          <w:color w:val="000000" w:themeColor="text1"/>
          <w:sz w:val="24"/>
          <w:szCs w:val="24"/>
        </w:rPr>
        <w:t xml:space="preserve">, proprietarul/dezvoltatorul ansamblului rezidenţial predă autorităţii administraţiei publice locale, </w:t>
      </w:r>
      <w:r w:rsidRPr="00277A6C">
        <w:rPr>
          <w:rFonts w:ascii="Trebuchet MS" w:hAnsi="Trebuchet MS" w:cs="Arial"/>
          <w:b/>
          <w:color w:val="000000" w:themeColor="text1"/>
          <w:sz w:val="24"/>
          <w:szCs w:val="24"/>
        </w:rPr>
        <w:t>în termen de 3 luni de la intrarea în vigoare a prezentei legi, cu titlu gratuit, reţelele comune şi terenul aferent până la branşamentele imobilelor din ansamblul rezidenţial, în vederea preluării în administrare şi exploatare a acestor reţele de către furnizorul care asigură aceste servicii în unitatea administrativ-teritorială respectivă.</w:t>
      </w:r>
    </w:p>
    <w:p w:rsidR="00CC090A" w:rsidRPr="00277A6C" w:rsidRDefault="00CC090A" w:rsidP="00C35FE4">
      <w:pPr>
        <w:spacing w:after="0" w:line="240" w:lineRule="auto"/>
        <w:jc w:val="both"/>
        <w:rPr>
          <w:rFonts w:ascii="Trebuchet MS" w:hAnsi="Trebuchet MS" w:cs="Arial"/>
          <w:color w:val="000000" w:themeColor="text1"/>
          <w:sz w:val="24"/>
          <w:szCs w:val="24"/>
        </w:rPr>
      </w:pPr>
      <w:r w:rsidRPr="00277A6C">
        <w:rPr>
          <w:rFonts w:ascii="Trebuchet MS" w:hAnsi="Trebuchet MS" w:cs="Arial"/>
          <w:color w:val="000000" w:themeColor="text1"/>
          <w:sz w:val="24"/>
          <w:szCs w:val="24"/>
        </w:rPr>
        <w:t xml:space="preserve">   </w:t>
      </w:r>
      <w:r w:rsidR="00F967F5" w:rsidRPr="00277A6C">
        <w:rPr>
          <w:rFonts w:ascii="Trebuchet MS" w:hAnsi="Trebuchet MS" w:cs="Arial"/>
          <w:color w:val="000000" w:themeColor="text1"/>
          <w:sz w:val="24"/>
          <w:szCs w:val="24"/>
        </w:rPr>
        <w:t xml:space="preserve">   </w:t>
      </w:r>
      <w:r w:rsidRPr="00277A6C">
        <w:rPr>
          <w:rFonts w:ascii="Trebuchet MS" w:hAnsi="Trebuchet MS" w:cs="Arial"/>
          <w:color w:val="000000" w:themeColor="text1"/>
          <w:sz w:val="24"/>
          <w:szCs w:val="24"/>
        </w:rPr>
        <w:t>În situaţia prevăzută la lit. b), proprietarul/ dezvoltatorul ansamblului rezidenţial are obligaţia să asigure furnizarea/prestarea serviciilor de utilităţi publice către toţi utilizatorii din ansamblul rezidenţial în baza contractelor de furnizare/prestare întocmite cu respectarea clauzelor din contractele-cadru elaborate de către autoritatea de reglementare competentă.</w:t>
      </w:r>
      <w:bookmarkStart w:id="0" w:name="A101"/>
      <w:r w:rsidRPr="00277A6C">
        <w:rPr>
          <w:rFonts w:ascii="Trebuchet MS" w:hAnsi="Trebuchet MS" w:cs="Arial"/>
          <w:color w:val="000000" w:themeColor="text1"/>
          <w:sz w:val="24"/>
          <w:szCs w:val="24"/>
        </w:rPr>
        <w:t xml:space="preserve"> </w:t>
      </w:r>
    </w:p>
    <w:bookmarkEnd w:id="0"/>
    <w:p w:rsidR="00F967F5" w:rsidRPr="00277A6C" w:rsidRDefault="00CC090A" w:rsidP="00277A6C">
      <w:pPr>
        <w:pStyle w:val="ListParagraph"/>
        <w:numPr>
          <w:ilvl w:val="0"/>
          <w:numId w:val="32"/>
        </w:numPr>
        <w:spacing w:line="240" w:lineRule="auto"/>
        <w:jc w:val="both"/>
        <w:rPr>
          <w:rFonts w:ascii="Trebuchet MS" w:hAnsi="Trebuchet MS" w:cs="Arial"/>
          <w:i/>
          <w:color w:val="000000" w:themeColor="text1"/>
          <w:sz w:val="24"/>
          <w:szCs w:val="24"/>
        </w:rPr>
      </w:pPr>
      <w:r w:rsidRPr="00277A6C">
        <w:rPr>
          <w:rFonts w:ascii="Trebuchet MS" w:hAnsi="Trebuchet MS" w:cs="Arial"/>
          <w:color w:val="000000" w:themeColor="text1"/>
          <w:sz w:val="24"/>
          <w:szCs w:val="24"/>
        </w:rPr>
        <w:lastRenderedPageBreak/>
        <w:t xml:space="preserve">Preţurile şi tarifele practicate pentru furnizarea serviciilor de utilităţi publice de către proprietarii/ dezvoltatorii ansamblurilor rezidenţiale </w:t>
      </w:r>
      <w:r w:rsidRPr="00277A6C">
        <w:rPr>
          <w:rFonts w:ascii="Trebuchet MS" w:hAnsi="Trebuchet MS" w:cs="Arial"/>
          <w:b/>
          <w:color w:val="000000" w:themeColor="text1"/>
          <w:sz w:val="24"/>
          <w:szCs w:val="24"/>
        </w:rPr>
        <w:t xml:space="preserve">se aprobă de către autoritatea de reglementare </w:t>
      </w:r>
      <w:r w:rsidR="00F967F5" w:rsidRPr="00277A6C">
        <w:rPr>
          <w:rFonts w:ascii="Trebuchet MS" w:hAnsi="Trebuchet MS" w:cs="Arial"/>
          <w:b/>
          <w:color w:val="000000" w:themeColor="text1"/>
          <w:sz w:val="24"/>
          <w:szCs w:val="24"/>
        </w:rPr>
        <w:t xml:space="preserve">competentă – A.N.R.S.C. , </w:t>
      </w:r>
      <w:r w:rsidR="00F967F5" w:rsidRPr="00277A6C">
        <w:rPr>
          <w:rFonts w:ascii="Trebuchet MS" w:hAnsi="Trebuchet MS" w:cs="Arial"/>
          <w:color w:val="000000" w:themeColor="text1"/>
          <w:sz w:val="24"/>
          <w:szCs w:val="24"/>
        </w:rPr>
        <w:t xml:space="preserve">în temeiul dispozițiilor art. 36 alin. (4) din Legea nr. 241/2006, care prevede </w:t>
      </w:r>
      <w:r w:rsidR="00F967F5" w:rsidRPr="00277A6C">
        <w:rPr>
          <w:rFonts w:ascii="Trebuchet MS" w:hAnsi="Trebuchet MS" w:cs="Arial"/>
          <w:i/>
          <w:color w:val="000000" w:themeColor="text1"/>
          <w:sz w:val="24"/>
          <w:szCs w:val="24"/>
        </w:rPr>
        <w:t xml:space="preserve">: </w:t>
      </w:r>
      <w:r w:rsidR="00F967F5" w:rsidRPr="00277A6C">
        <w:rPr>
          <w:rFonts w:ascii="Trebuchet MS" w:hAnsi="Trebuchet MS" w:cs="Arial"/>
          <w:i/>
          <w:color w:val="000000" w:themeColor="text1"/>
          <w:sz w:val="24"/>
          <w:szCs w:val="24"/>
          <w:shd w:val="clear" w:color="auto" w:fill="FFFFFF"/>
        </w:rPr>
        <w:t xml:space="preserve"> stabilirea, ajustarea sau modificarea preţurilor şi tarifelor pentru unele activităţi specifice alimentării cu apă şi canalizării prestate de operatori economici sau instituţii publice care nu au calitatea de operatori şi care nu se află în coordonarea sau în subordinea directă a autorităţilor administraţiei publice locale se face de A.N.R.S.C., pe baza principiilor şi procedurilor prevăzute de lege.</w:t>
      </w:r>
      <w:r w:rsidR="00F967F5" w:rsidRPr="00277A6C">
        <w:rPr>
          <w:rFonts w:ascii="Trebuchet MS" w:hAnsi="Trebuchet MS" w:cs="Arial"/>
          <w:i/>
          <w:color w:val="000000" w:themeColor="text1"/>
          <w:sz w:val="24"/>
          <w:szCs w:val="24"/>
        </w:rPr>
        <w:t xml:space="preserve"> </w:t>
      </w:r>
    </w:p>
    <w:p w:rsidR="00F967F5" w:rsidRDefault="00F967F5" w:rsidP="00277A6C">
      <w:pPr>
        <w:spacing w:after="0" w:line="240" w:lineRule="auto"/>
        <w:ind w:left="360"/>
        <w:jc w:val="both"/>
        <w:rPr>
          <w:rFonts w:ascii="Trebuchet MS" w:hAnsi="Trebuchet MS" w:cs="Arial"/>
          <w:color w:val="000000" w:themeColor="text1"/>
          <w:sz w:val="24"/>
          <w:szCs w:val="24"/>
        </w:rPr>
      </w:pPr>
      <w:r w:rsidRPr="00277A6C">
        <w:rPr>
          <w:rFonts w:ascii="Trebuchet MS" w:hAnsi="Trebuchet MS" w:cs="Arial"/>
          <w:color w:val="000000" w:themeColor="text1"/>
          <w:sz w:val="24"/>
          <w:szCs w:val="24"/>
        </w:rPr>
        <w:t>Aceştia au</w:t>
      </w:r>
      <w:r w:rsidR="00277A6C">
        <w:rPr>
          <w:rFonts w:ascii="Trebuchet MS" w:hAnsi="Trebuchet MS" w:cs="Arial"/>
          <w:color w:val="000000" w:themeColor="text1"/>
          <w:sz w:val="24"/>
          <w:szCs w:val="24"/>
        </w:rPr>
        <w:t xml:space="preserve"> și </w:t>
      </w:r>
      <w:r w:rsidRPr="00277A6C">
        <w:rPr>
          <w:rFonts w:ascii="Trebuchet MS" w:hAnsi="Trebuchet MS" w:cs="Arial"/>
          <w:color w:val="000000" w:themeColor="text1"/>
          <w:sz w:val="24"/>
          <w:szCs w:val="24"/>
        </w:rPr>
        <w:t>următoarele obligaţii</w:t>
      </w:r>
      <w:r w:rsidR="00CC090A" w:rsidRPr="00277A6C">
        <w:rPr>
          <w:rFonts w:ascii="Trebuchet MS" w:hAnsi="Trebuchet MS" w:cs="Arial"/>
          <w:color w:val="000000" w:themeColor="text1"/>
          <w:sz w:val="24"/>
          <w:szCs w:val="24"/>
        </w:rPr>
        <w:t xml:space="preserve"> </w:t>
      </w:r>
      <w:r w:rsidRPr="00277A6C">
        <w:rPr>
          <w:rFonts w:ascii="Trebuchet MS" w:hAnsi="Trebuchet MS" w:cs="Arial"/>
          <w:color w:val="000000" w:themeColor="text1"/>
          <w:sz w:val="24"/>
          <w:szCs w:val="24"/>
        </w:rPr>
        <w:t>:</w:t>
      </w:r>
    </w:p>
    <w:p w:rsidR="00277A6C" w:rsidRPr="00277A6C" w:rsidRDefault="00277A6C" w:rsidP="00277A6C">
      <w:pPr>
        <w:spacing w:after="0" w:line="240" w:lineRule="auto"/>
        <w:ind w:left="360"/>
        <w:jc w:val="both"/>
        <w:rPr>
          <w:rFonts w:ascii="Trebuchet MS" w:hAnsi="Trebuchet MS" w:cs="Arial"/>
          <w:color w:val="000000" w:themeColor="text1"/>
          <w:sz w:val="24"/>
          <w:szCs w:val="24"/>
        </w:rPr>
      </w:pPr>
    </w:p>
    <w:p w:rsidR="00C35FE4" w:rsidRPr="00277A6C" w:rsidRDefault="00F967F5" w:rsidP="00F967F5">
      <w:pPr>
        <w:pStyle w:val="ListParagraph"/>
        <w:numPr>
          <w:ilvl w:val="0"/>
          <w:numId w:val="19"/>
        </w:numPr>
        <w:spacing w:after="0" w:line="240" w:lineRule="auto"/>
        <w:jc w:val="both"/>
        <w:rPr>
          <w:rFonts w:ascii="Trebuchet MS" w:hAnsi="Trebuchet MS" w:cs="Courier New"/>
          <w:b/>
          <w:color w:val="000000" w:themeColor="text1"/>
          <w:sz w:val="24"/>
          <w:szCs w:val="24"/>
        </w:rPr>
      </w:pPr>
      <w:r w:rsidRPr="00277A6C">
        <w:rPr>
          <w:rFonts w:ascii="Trebuchet MS" w:hAnsi="Trebuchet MS" w:cs="Arial"/>
          <w:color w:val="000000" w:themeColor="text1"/>
          <w:sz w:val="24"/>
          <w:szCs w:val="24"/>
        </w:rPr>
        <w:t>Evidenţă</w:t>
      </w:r>
      <w:r w:rsidR="00CC090A" w:rsidRPr="00277A6C">
        <w:rPr>
          <w:rFonts w:ascii="Trebuchet MS" w:hAnsi="Trebuchet MS" w:cs="Arial"/>
          <w:color w:val="000000" w:themeColor="text1"/>
          <w:sz w:val="24"/>
          <w:szCs w:val="24"/>
        </w:rPr>
        <w:t xml:space="preserve"> contabilă separată pentru fiecare serviciu de utilitate publică furnizat/prestat</w:t>
      </w:r>
      <w:r w:rsidRPr="00277A6C">
        <w:rPr>
          <w:rFonts w:ascii="Trebuchet MS" w:hAnsi="Trebuchet MS" w:cs="Courier New"/>
          <w:b/>
          <w:color w:val="000000" w:themeColor="text1"/>
          <w:sz w:val="24"/>
          <w:szCs w:val="24"/>
        </w:rPr>
        <w:t xml:space="preserve"> </w:t>
      </w:r>
    </w:p>
    <w:p w:rsidR="00F967F5" w:rsidRPr="00277A6C" w:rsidRDefault="00F967F5" w:rsidP="00F967F5">
      <w:pPr>
        <w:pStyle w:val="ListParagraph"/>
        <w:numPr>
          <w:ilvl w:val="0"/>
          <w:numId w:val="19"/>
        </w:numPr>
        <w:spacing w:after="0" w:line="240" w:lineRule="auto"/>
        <w:jc w:val="both"/>
        <w:rPr>
          <w:rFonts w:ascii="Trebuchet MS" w:hAnsi="Trebuchet MS" w:cs="Arial"/>
          <w:b/>
          <w:color w:val="0070C0"/>
          <w:sz w:val="24"/>
          <w:szCs w:val="24"/>
        </w:rPr>
      </w:pPr>
      <w:r w:rsidRPr="00277A6C">
        <w:rPr>
          <w:rFonts w:ascii="Trebuchet MS" w:hAnsi="Trebuchet MS" w:cs="Arial"/>
          <w:color w:val="000000" w:themeColor="text1"/>
          <w:sz w:val="24"/>
          <w:szCs w:val="24"/>
        </w:rPr>
        <w:t xml:space="preserve">Depunerea declarațiilor și achitarea contribuției de 0,12% potrivit  </w:t>
      </w:r>
      <w:r w:rsidRPr="00277A6C">
        <w:rPr>
          <w:rFonts w:ascii="Trebuchet MS" w:hAnsi="Trebuchet MS" w:cs="Arial"/>
          <w:color w:val="000000" w:themeColor="text1"/>
          <w:sz w:val="24"/>
          <w:szCs w:val="24"/>
          <w:shd w:val="clear" w:color="auto" w:fill="FFFFFF"/>
        </w:rPr>
        <w:t>Ordinul Președintelui A.N.R.S.C.,nr. 79/</w:t>
      </w:r>
      <w:r w:rsidRPr="00277A6C">
        <w:rPr>
          <w:rStyle w:val="object"/>
          <w:rFonts w:ascii="Trebuchet MS" w:hAnsi="Trebuchet MS" w:cs="Arial"/>
          <w:color w:val="000000" w:themeColor="text1"/>
          <w:sz w:val="24"/>
          <w:szCs w:val="24"/>
          <w:shd w:val="clear" w:color="auto" w:fill="FFFFFF"/>
        </w:rPr>
        <w:t xml:space="preserve"> 2017</w:t>
      </w:r>
      <w:r w:rsidRPr="00277A6C">
        <w:rPr>
          <w:rFonts w:ascii="Trebuchet MS" w:hAnsi="Trebuchet MS" w:cs="Arial"/>
          <w:color w:val="000000" w:themeColor="text1"/>
          <w:sz w:val="24"/>
          <w:szCs w:val="24"/>
          <w:shd w:val="clear" w:color="auto" w:fill="FFFFFF"/>
        </w:rPr>
        <w:t xml:space="preserve">, cu modificările și completările ulterioare  - </w:t>
      </w:r>
      <w:r w:rsidRPr="00277A6C">
        <w:rPr>
          <w:rFonts w:ascii="Trebuchet MS" w:hAnsi="Trebuchet MS" w:cs="Arial"/>
          <w:color w:val="0070C0"/>
          <w:sz w:val="24"/>
          <w:szCs w:val="24"/>
          <w:shd w:val="clear" w:color="auto" w:fill="FFFFFF"/>
        </w:rPr>
        <w:t xml:space="preserve">click aici + link portal on line </w:t>
      </w:r>
    </w:p>
    <w:p w:rsidR="00F967F5" w:rsidRPr="00277A6C" w:rsidRDefault="00F967F5" w:rsidP="00F967F5">
      <w:pPr>
        <w:pStyle w:val="ListParagraph"/>
        <w:spacing w:after="0" w:line="240" w:lineRule="auto"/>
        <w:jc w:val="both"/>
        <w:rPr>
          <w:rFonts w:ascii="Trebuchet MS" w:hAnsi="Trebuchet MS" w:cs="Arial"/>
          <w:b/>
          <w:color w:val="000000" w:themeColor="text1"/>
          <w:sz w:val="24"/>
          <w:szCs w:val="24"/>
        </w:rPr>
      </w:pPr>
    </w:p>
    <w:p w:rsidR="00F967F5" w:rsidRPr="00277A6C" w:rsidRDefault="00F967F5" w:rsidP="00277A6C">
      <w:pPr>
        <w:pStyle w:val="ListParagraph"/>
        <w:numPr>
          <w:ilvl w:val="0"/>
          <w:numId w:val="32"/>
        </w:numPr>
        <w:spacing w:after="0" w:line="240" w:lineRule="auto"/>
        <w:jc w:val="both"/>
        <w:rPr>
          <w:rFonts w:ascii="Trebuchet MS" w:hAnsi="Trebuchet MS" w:cs="Arial"/>
          <w:b/>
          <w:color w:val="000000" w:themeColor="text1"/>
          <w:sz w:val="24"/>
          <w:szCs w:val="24"/>
        </w:rPr>
      </w:pPr>
      <w:r w:rsidRPr="00277A6C">
        <w:rPr>
          <w:rFonts w:ascii="Trebuchet MS" w:hAnsi="Trebuchet MS" w:cs="Arial"/>
          <w:b/>
          <w:color w:val="000000" w:themeColor="text1"/>
          <w:sz w:val="24"/>
          <w:szCs w:val="24"/>
        </w:rPr>
        <w:t xml:space="preserve">Proprietarii/Dezvoltatorii ansamblurilor rezidenţiale nu au obligația obținerii licenței A.N.R.S.C. pentru furnizarea de servicii de utilități publice </w:t>
      </w:r>
    </w:p>
    <w:p w:rsidR="00CC090A" w:rsidRPr="00277A6C" w:rsidRDefault="00CC090A" w:rsidP="00C35FE4">
      <w:pPr>
        <w:spacing w:after="0" w:line="240" w:lineRule="auto"/>
        <w:jc w:val="both"/>
        <w:rPr>
          <w:rFonts w:ascii="Trebuchet MS" w:eastAsia="Times New Roman" w:hAnsi="Trebuchet MS" w:cs="Arial"/>
          <w:b/>
          <w:bCs/>
          <w:i/>
          <w:iCs/>
          <w:color w:val="000000" w:themeColor="text1"/>
          <w:sz w:val="24"/>
          <w:szCs w:val="24"/>
          <w:lang w:eastAsia="ro-RO"/>
        </w:rPr>
      </w:pPr>
    </w:p>
    <w:sectPr w:rsidR="00CC090A" w:rsidRPr="00277A6C" w:rsidSect="00AC0E17">
      <w:pgSz w:w="11906" w:h="16838"/>
      <w:pgMar w:top="1191"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1.25pt;height:11.25pt" o:bullet="t">
        <v:imagedata r:id="rId1" o:title="msoF07"/>
      </v:shape>
    </w:pict>
  </w:numPicBullet>
  <w:abstractNum w:abstractNumId="0">
    <w:nsid w:val="00B82ED2"/>
    <w:multiLevelType w:val="hybridMultilevel"/>
    <w:tmpl w:val="CDD63832"/>
    <w:lvl w:ilvl="0" w:tplc="0418000B">
      <w:start w:val="1"/>
      <w:numFmt w:val="bullet"/>
      <w:lvlText w:val=""/>
      <w:lvlJc w:val="left"/>
      <w:pPr>
        <w:ind w:left="865" w:hanging="360"/>
      </w:pPr>
      <w:rPr>
        <w:rFonts w:ascii="Wingdings" w:hAnsi="Wingdings" w:hint="default"/>
      </w:rPr>
    </w:lvl>
    <w:lvl w:ilvl="1" w:tplc="04180003" w:tentative="1">
      <w:start w:val="1"/>
      <w:numFmt w:val="bullet"/>
      <w:lvlText w:val="o"/>
      <w:lvlJc w:val="left"/>
      <w:pPr>
        <w:ind w:left="1585" w:hanging="360"/>
      </w:pPr>
      <w:rPr>
        <w:rFonts w:ascii="Courier New" w:hAnsi="Courier New" w:cs="Courier New" w:hint="default"/>
      </w:rPr>
    </w:lvl>
    <w:lvl w:ilvl="2" w:tplc="04180005" w:tentative="1">
      <w:start w:val="1"/>
      <w:numFmt w:val="bullet"/>
      <w:lvlText w:val=""/>
      <w:lvlJc w:val="left"/>
      <w:pPr>
        <w:ind w:left="2305" w:hanging="360"/>
      </w:pPr>
      <w:rPr>
        <w:rFonts w:ascii="Wingdings" w:hAnsi="Wingdings" w:hint="default"/>
      </w:rPr>
    </w:lvl>
    <w:lvl w:ilvl="3" w:tplc="04180001" w:tentative="1">
      <w:start w:val="1"/>
      <w:numFmt w:val="bullet"/>
      <w:lvlText w:val=""/>
      <w:lvlJc w:val="left"/>
      <w:pPr>
        <w:ind w:left="3025" w:hanging="360"/>
      </w:pPr>
      <w:rPr>
        <w:rFonts w:ascii="Symbol" w:hAnsi="Symbol" w:hint="default"/>
      </w:rPr>
    </w:lvl>
    <w:lvl w:ilvl="4" w:tplc="04180003" w:tentative="1">
      <w:start w:val="1"/>
      <w:numFmt w:val="bullet"/>
      <w:lvlText w:val="o"/>
      <w:lvlJc w:val="left"/>
      <w:pPr>
        <w:ind w:left="3745" w:hanging="360"/>
      </w:pPr>
      <w:rPr>
        <w:rFonts w:ascii="Courier New" w:hAnsi="Courier New" w:cs="Courier New" w:hint="default"/>
      </w:rPr>
    </w:lvl>
    <w:lvl w:ilvl="5" w:tplc="04180005" w:tentative="1">
      <w:start w:val="1"/>
      <w:numFmt w:val="bullet"/>
      <w:lvlText w:val=""/>
      <w:lvlJc w:val="left"/>
      <w:pPr>
        <w:ind w:left="4465" w:hanging="360"/>
      </w:pPr>
      <w:rPr>
        <w:rFonts w:ascii="Wingdings" w:hAnsi="Wingdings" w:hint="default"/>
      </w:rPr>
    </w:lvl>
    <w:lvl w:ilvl="6" w:tplc="04180001" w:tentative="1">
      <w:start w:val="1"/>
      <w:numFmt w:val="bullet"/>
      <w:lvlText w:val=""/>
      <w:lvlJc w:val="left"/>
      <w:pPr>
        <w:ind w:left="5185" w:hanging="360"/>
      </w:pPr>
      <w:rPr>
        <w:rFonts w:ascii="Symbol" w:hAnsi="Symbol" w:hint="default"/>
      </w:rPr>
    </w:lvl>
    <w:lvl w:ilvl="7" w:tplc="04180003" w:tentative="1">
      <w:start w:val="1"/>
      <w:numFmt w:val="bullet"/>
      <w:lvlText w:val="o"/>
      <w:lvlJc w:val="left"/>
      <w:pPr>
        <w:ind w:left="5905" w:hanging="360"/>
      </w:pPr>
      <w:rPr>
        <w:rFonts w:ascii="Courier New" w:hAnsi="Courier New" w:cs="Courier New" w:hint="default"/>
      </w:rPr>
    </w:lvl>
    <w:lvl w:ilvl="8" w:tplc="04180005" w:tentative="1">
      <w:start w:val="1"/>
      <w:numFmt w:val="bullet"/>
      <w:lvlText w:val=""/>
      <w:lvlJc w:val="left"/>
      <w:pPr>
        <w:ind w:left="6625" w:hanging="360"/>
      </w:pPr>
      <w:rPr>
        <w:rFonts w:ascii="Wingdings" w:hAnsi="Wingdings" w:hint="default"/>
      </w:rPr>
    </w:lvl>
  </w:abstractNum>
  <w:abstractNum w:abstractNumId="1">
    <w:nsid w:val="01EA178D"/>
    <w:multiLevelType w:val="hybridMultilevel"/>
    <w:tmpl w:val="8DE060FA"/>
    <w:lvl w:ilvl="0" w:tplc="B8146F02">
      <w:start w:val="1"/>
      <w:numFmt w:val="bullet"/>
      <w:lvlText w:val=""/>
      <w:lvlJc w:val="left"/>
      <w:pPr>
        <w:ind w:left="720" w:hanging="360"/>
      </w:pPr>
      <w:rPr>
        <w:rFonts w:ascii="Symbol" w:hAnsi="Symbol" w:hint="default"/>
        <w:color w:val="00B0F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1B7441"/>
    <w:multiLevelType w:val="hybridMultilevel"/>
    <w:tmpl w:val="7F184AF6"/>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6A755F6"/>
    <w:multiLevelType w:val="hybridMultilevel"/>
    <w:tmpl w:val="31AC15D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79E596E"/>
    <w:multiLevelType w:val="hybridMultilevel"/>
    <w:tmpl w:val="126620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A5A4114"/>
    <w:multiLevelType w:val="hybridMultilevel"/>
    <w:tmpl w:val="E0FE04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B7D6B67"/>
    <w:multiLevelType w:val="hybridMultilevel"/>
    <w:tmpl w:val="24427A3C"/>
    <w:lvl w:ilvl="0" w:tplc="F200AC94">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015348B"/>
    <w:multiLevelType w:val="hybridMultilevel"/>
    <w:tmpl w:val="4570307E"/>
    <w:lvl w:ilvl="0" w:tplc="856264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15C2BED"/>
    <w:multiLevelType w:val="hybridMultilevel"/>
    <w:tmpl w:val="DA7C65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F14B30"/>
    <w:multiLevelType w:val="hybridMultilevel"/>
    <w:tmpl w:val="89D64FE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CC604EF"/>
    <w:multiLevelType w:val="hybridMultilevel"/>
    <w:tmpl w:val="430237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5F0488"/>
    <w:multiLevelType w:val="hybridMultilevel"/>
    <w:tmpl w:val="954C06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FA289C"/>
    <w:multiLevelType w:val="hybridMultilevel"/>
    <w:tmpl w:val="2CAAFD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DA95F6D"/>
    <w:multiLevelType w:val="hybridMultilevel"/>
    <w:tmpl w:val="3B70C100"/>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
    <w:nsid w:val="39757D4C"/>
    <w:multiLevelType w:val="hybridMultilevel"/>
    <w:tmpl w:val="01022380"/>
    <w:lvl w:ilvl="0" w:tplc="5CE64AD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ABD36E0"/>
    <w:multiLevelType w:val="hybridMultilevel"/>
    <w:tmpl w:val="313AD0B0"/>
    <w:lvl w:ilvl="0" w:tplc="75A01614">
      <w:start w:val="1"/>
      <w:numFmt w:val="bullet"/>
      <w:lvlText w:val=""/>
      <w:lvlJc w:val="left"/>
      <w:pPr>
        <w:ind w:left="720" w:hanging="360"/>
      </w:pPr>
      <w:rPr>
        <w:rFonts w:ascii="Symbol" w:hAnsi="Symbol"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B9212EC"/>
    <w:multiLevelType w:val="multilevel"/>
    <w:tmpl w:val="508C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C361364"/>
    <w:multiLevelType w:val="hybridMultilevel"/>
    <w:tmpl w:val="480C5B7A"/>
    <w:lvl w:ilvl="0" w:tplc="04180001">
      <w:start w:val="1"/>
      <w:numFmt w:val="bullet"/>
      <w:lvlText w:val=""/>
      <w:lvlJc w:val="left"/>
      <w:pPr>
        <w:ind w:left="1156" w:hanging="360"/>
      </w:pPr>
      <w:rPr>
        <w:rFonts w:ascii="Symbol" w:hAnsi="Symbol" w:hint="default"/>
      </w:rPr>
    </w:lvl>
    <w:lvl w:ilvl="1" w:tplc="04180003" w:tentative="1">
      <w:start w:val="1"/>
      <w:numFmt w:val="bullet"/>
      <w:lvlText w:val="o"/>
      <w:lvlJc w:val="left"/>
      <w:pPr>
        <w:ind w:left="1876" w:hanging="360"/>
      </w:pPr>
      <w:rPr>
        <w:rFonts w:ascii="Courier New" w:hAnsi="Courier New" w:cs="Courier New" w:hint="default"/>
      </w:rPr>
    </w:lvl>
    <w:lvl w:ilvl="2" w:tplc="04180005" w:tentative="1">
      <w:start w:val="1"/>
      <w:numFmt w:val="bullet"/>
      <w:lvlText w:val=""/>
      <w:lvlJc w:val="left"/>
      <w:pPr>
        <w:ind w:left="2596" w:hanging="360"/>
      </w:pPr>
      <w:rPr>
        <w:rFonts w:ascii="Wingdings" w:hAnsi="Wingdings" w:hint="default"/>
      </w:rPr>
    </w:lvl>
    <w:lvl w:ilvl="3" w:tplc="04180001" w:tentative="1">
      <w:start w:val="1"/>
      <w:numFmt w:val="bullet"/>
      <w:lvlText w:val=""/>
      <w:lvlJc w:val="left"/>
      <w:pPr>
        <w:ind w:left="3316" w:hanging="360"/>
      </w:pPr>
      <w:rPr>
        <w:rFonts w:ascii="Symbol" w:hAnsi="Symbol" w:hint="default"/>
      </w:rPr>
    </w:lvl>
    <w:lvl w:ilvl="4" w:tplc="04180003" w:tentative="1">
      <w:start w:val="1"/>
      <w:numFmt w:val="bullet"/>
      <w:lvlText w:val="o"/>
      <w:lvlJc w:val="left"/>
      <w:pPr>
        <w:ind w:left="4036" w:hanging="360"/>
      </w:pPr>
      <w:rPr>
        <w:rFonts w:ascii="Courier New" w:hAnsi="Courier New" w:cs="Courier New" w:hint="default"/>
      </w:rPr>
    </w:lvl>
    <w:lvl w:ilvl="5" w:tplc="04180005" w:tentative="1">
      <w:start w:val="1"/>
      <w:numFmt w:val="bullet"/>
      <w:lvlText w:val=""/>
      <w:lvlJc w:val="left"/>
      <w:pPr>
        <w:ind w:left="4756" w:hanging="360"/>
      </w:pPr>
      <w:rPr>
        <w:rFonts w:ascii="Wingdings" w:hAnsi="Wingdings" w:hint="default"/>
      </w:rPr>
    </w:lvl>
    <w:lvl w:ilvl="6" w:tplc="04180001" w:tentative="1">
      <w:start w:val="1"/>
      <w:numFmt w:val="bullet"/>
      <w:lvlText w:val=""/>
      <w:lvlJc w:val="left"/>
      <w:pPr>
        <w:ind w:left="5476" w:hanging="360"/>
      </w:pPr>
      <w:rPr>
        <w:rFonts w:ascii="Symbol" w:hAnsi="Symbol" w:hint="default"/>
      </w:rPr>
    </w:lvl>
    <w:lvl w:ilvl="7" w:tplc="04180003" w:tentative="1">
      <w:start w:val="1"/>
      <w:numFmt w:val="bullet"/>
      <w:lvlText w:val="o"/>
      <w:lvlJc w:val="left"/>
      <w:pPr>
        <w:ind w:left="6196" w:hanging="360"/>
      </w:pPr>
      <w:rPr>
        <w:rFonts w:ascii="Courier New" w:hAnsi="Courier New" w:cs="Courier New" w:hint="default"/>
      </w:rPr>
    </w:lvl>
    <w:lvl w:ilvl="8" w:tplc="04180005" w:tentative="1">
      <w:start w:val="1"/>
      <w:numFmt w:val="bullet"/>
      <w:lvlText w:val=""/>
      <w:lvlJc w:val="left"/>
      <w:pPr>
        <w:ind w:left="6916" w:hanging="360"/>
      </w:pPr>
      <w:rPr>
        <w:rFonts w:ascii="Wingdings" w:hAnsi="Wingdings" w:hint="default"/>
      </w:rPr>
    </w:lvl>
  </w:abstractNum>
  <w:abstractNum w:abstractNumId="18">
    <w:nsid w:val="3DA65B60"/>
    <w:multiLevelType w:val="hybridMultilevel"/>
    <w:tmpl w:val="7B76CF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E811162"/>
    <w:multiLevelType w:val="hybridMultilevel"/>
    <w:tmpl w:val="39B89B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F48647C"/>
    <w:multiLevelType w:val="hybridMultilevel"/>
    <w:tmpl w:val="228C962E"/>
    <w:lvl w:ilvl="0" w:tplc="E7623CF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36255E9"/>
    <w:multiLevelType w:val="hybridMultilevel"/>
    <w:tmpl w:val="B6BE476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3A67BE3"/>
    <w:multiLevelType w:val="hybridMultilevel"/>
    <w:tmpl w:val="FFEA6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63643CF"/>
    <w:multiLevelType w:val="hybridMultilevel"/>
    <w:tmpl w:val="3746F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65253DB"/>
    <w:multiLevelType w:val="hybridMultilevel"/>
    <w:tmpl w:val="1C123C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7EE0818"/>
    <w:multiLevelType w:val="hybridMultilevel"/>
    <w:tmpl w:val="E5709352"/>
    <w:lvl w:ilvl="0" w:tplc="5CBC35A2">
      <w:start w:val="7"/>
      <w:numFmt w:val="bullet"/>
      <w:lvlText w:val="-"/>
      <w:lvlJc w:val="left"/>
      <w:pPr>
        <w:ind w:left="720" w:hanging="360"/>
      </w:pPr>
      <w:rPr>
        <w:rFonts w:ascii="Arial" w:eastAsiaTheme="minorHAnsi" w:hAnsi="Arial" w:cs="Arial" w:hint="default"/>
        <w:color w:val="000000" w:themeColor="text1"/>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B187C0A"/>
    <w:multiLevelType w:val="hybridMultilevel"/>
    <w:tmpl w:val="6B946BA2"/>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7">
    <w:nsid w:val="5F977791"/>
    <w:multiLevelType w:val="hybridMultilevel"/>
    <w:tmpl w:val="ACDA99E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2896A7E"/>
    <w:multiLevelType w:val="hybridMultilevel"/>
    <w:tmpl w:val="9E6AF10A"/>
    <w:lvl w:ilvl="0" w:tplc="4E5A4D2A">
      <w:start w:val="6"/>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FD3303A"/>
    <w:multiLevelType w:val="hybridMultilevel"/>
    <w:tmpl w:val="386260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C0358C2"/>
    <w:multiLevelType w:val="hybridMultilevel"/>
    <w:tmpl w:val="A59E2A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7C5B111D"/>
    <w:multiLevelType w:val="hybridMultilevel"/>
    <w:tmpl w:val="29701AF2"/>
    <w:lvl w:ilvl="0" w:tplc="04180005">
      <w:start w:val="1"/>
      <w:numFmt w:val="bullet"/>
      <w:lvlText w:val=""/>
      <w:lvlJc w:val="left"/>
      <w:pPr>
        <w:ind w:left="793" w:hanging="360"/>
      </w:pPr>
      <w:rPr>
        <w:rFonts w:ascii="Wingdings" w:hAnsi="Wingdings" w:hint="default"/>
      </w:rPr>
    </w:lvl>
    <w:lvl w:ilvl="1" w:tplc="04180003" w:tentative="1">
      <w:start w:val="1"/>
      <w:numFmt w:val="bullet"/>
      <w:lvlText w:val="o"/>
      <w:lvlJc w:val="left"/>
      <w:pPr>
        <w:ind w:left="1513" w:hanging="360"/>
      </w:pPr>
      <w:rPr>
        <w:rFonts w:ascii="Courier New" w:hAnsi="Courier New" w:cs="Courier New" w:hint="default"/>
      </w:rPr>
    </w:lvl>
    <w:lvl w:ilvl="2" w:tplc="04180005" w:tentative="1">
      <w:start w:val="1"/>
      <w:numFmt w:val="bullet"/>
      <w:lvlText w:val=""/>
      <w:lvlJc w:val="left"/>
      <w:pPr>
        <w:ind w:left="2233" w:hanging="360"/>
      </w:pPr>
      <w:rPr>
        <w:rFonts w:ascii="Wingdings" w:hAnsi="Wingdings" w:hint="default"/>
      </w:rPr>
    </w:lvl>
    <w:lvl w:ilvl="3" w:tplc="04180001" w:tentative="1">
      <w:start w:val="1"/>
      <w:numFmt w:val="bullet"/>
      <w:lvlText w:val=""/>
      <w:lvlJc w:val="left"/>
      <w:pPr>
        <w:ind w:left="2953" w:hanging="360"/>
      </w:pPr>
      <w:rPr>
        <w:rFonts w:ascii="Symbol" w:hAnsi="Symbol" w:hint="default"/>
      </w:rPr>
    </w:lvl>
    <w:lvl w:ilvl="4" w:tplc="04180003" w:tentative="1">
      <w:start w:val="1"/>
      <w:numFmt w:val="bullet"/>
      <w:lvlText w:val="o"/>
      <w:lvlJc w:val="left"/>
      <w:pPr>
        <w:ind w:left="3673" w:hanging="360"/>
      </w:pPr>
      <w:rPr>
        <w:rFonts w:ascii="Courier New" w:hAnsi="Courier New" w:cs="Courier New" w:hint="default"/>
      </w:rPr>
    </w:lvl>
    <w:lvl w:ilvl="5" w:tplc="04180005" w:tentative="1">
      <w:start w:val="1"/>
      <w:numFmt w:val="bullet"/>
      <w:lvlText w:val=""/>
      <w:lvlJc w:val="left"/>
      <w:pPr>
        <w:ind w:left="4393" w:hanging="360"/>
      </w:pPr>
      <w:rPr>
        <w:rFonts w:ascii="Wingdings" w:hAnsi="Wingdings" w:hint="default"/>
      </w:rPr>
    </w:lvl>
    <w:lvl w:ilvl="6" w:tplc="04180001" w:tentative="1">
      <w:start w:val="1"/>
      <w:numFmt w:val="bullet"/>
      <w:lvlText w:val=""/>
      <w:lvlJc w:val="left"/>
      <w:pPr>
        <w:ind w:left="5113" w:hanging="360"/>
      </w:pPr>
      <w:rPr>
        <w:rFonts w:ascii="Symbol" w:hAnsi="Symbol" w:hint="default"/>
      </w:rPr>
    </w:lvl>
    <w:lvl w:ilvl="7" w:tplc="04180003" w:tentative="1">
      <w:start w:val="1"/>
      <w:numFmt w:val="bullet"/>
      <w:lvlText w:val="o"/>
      <w:lvlJc w:val="left"/>
      <w:pPr>
        <w:ind w:left="5833" w:hanging="360"/>
      </w:pPr>
      <w:rPr>
        <w:rFonts w:ascii="Courier New" w:hAnsi="Courier New" w:cs="Courier New" w:hint="default"/>
      </w:rPr>
    </w:lvl>
    <w:lvl w:ilvl="8" w:tplc="04180005" w:tentative="1">
      <w:start w:val="1"/>
      <w:numFmt w:val="bullet"/>
      <w:lvlText w:val=""/>
      <w:lvlJc w:val="left"/>
      <w:pPr>
        <w:ind w:left="6553" w:hanging="360"/>
      </w:pPr>
      <w:rPr>
        <w:rFonts w:ascii="Wingdings" w:hAnsi="Wingdings" w:hint="default"/>
      </w:rPr>
    </w:lvl>
  </w:abstractNum>
  <w:num w:numId="1">
    <w:abstractNumId w:val="22"/>
  </w:num>
  <w:num w:numId="2">
    <w:abstractNumId w:val="19"/>
  </w:num>
  <w:num w:numId="3">
    <w:abstractNumId w:val="11"/>
  </w:num>
  <w:num w:numId="4">
    <w:abstractNumId w:val="31"/>
  </w:num>
  <w:num w:numId="5">
    <w:abstractNumId w:val="0"/>
  </w:num>
  <w:num w:numId="6">
    <w:abstractNumId w:val="5"/>
  </w:num>
  <w:num w:numId="7">
    <w:abstractNumId w:val="3"/>
  </w:num>
  <w:num w:numId="8">
    <w:abstractNumId w:val="13"/>
  </w:num>
  <w:num w:numId="9">
    <w:abstractNumId w:val="17"/>
  </w:num>
  <w:num w:numId="10">
    <w:abstractNumId w:val="20"/>
  </w:num>
  <w:num w:numId="11">
    <w:abstractNumId w:val="29"/>
  </w:num>
  <w:num w:numId="12">
    <w:abstractNumId w:val="16"/>
  </w:num>
  <w:num w:numId="13">
    <w:abstractNumId w:val="21"/>
  </w:num>
  <w:num w:numId="14">
    <w:abstractNumId w:val="28"/>
  </w:num>
  <w:num w:numId="15">
    <w:abstractNumId w:val="25"/>
  </w:num>
  <w:num w:numId="16">
    <w:abstractNumId w:val="7"/>
  </w:num>
  <w:num w:numId="17">
    <w:abstractNumId w:val="14"/>
  </w:num>
  <w:num w:numId="18">
    <w:abstractNumId w:val="23"/>
  </w:num>
  <w:num w:numId="19">
    <w:abstractNumId w:val="15"/>
  </w:num>
  <w:num w:numId="20">
    <w:abstractNumId w:val="2"/>
  </w:num>
  <w:num w:numId="21">
    <w:abstractNumId w:val="6"/>
  </w:num>
  <w:num w:numId="22">
    <w:abstractNumId w:val="18"/>
  </w:num>
  <w:num w:numId="23">
    <w:abstractNumId w:val="27"/>
  </w:num>
  <w:num w:numId="24">
    <w:abstractNumId w:val="12"/>
  </w:num>
  <w:num w:numId="25">
    <w:abstractNumId w:val="30"/>
  </w:num>
  <w:num w:numId="26">
    <w:abstractNumId w:val="8"/>
  </w:num>
  <w:num w:numId="27">
    <w:abstractNumId w:val="1"/>
  </w:num>
  <w:num w:numId="28">
    <w:abstractNumId w:val="26"/>
  </w:num>
  <w:num w:numId="29">
    <w:abstractNumId w:val="24"/>
  </w:num>
  <w:num w:numId="30">
    <w:abstractNumId w:val="4"/>
  </w:num>
  <w:num w:numId="31">
    <w:abstractNumId w:val="10"/>
  </w:num>
  <w:num w:numId="3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71167"/>
    <w:rsid w:val="0004224A"/>
    <w:rsid w:val="00042AE5"/>
    <w:rsid w:val="000434E6"/>
    <w:rsid w:val="000C42D2"/>
    <w:rsid w:val="000F7F00"/>
    <w:rsid w:val="0010001D"/>
    <w:rsid w:val="00101467"/>
    <w:rsid w:val="00104026"/>
    <w:rsid w:val="00115C84"/>
    <w:rsid w:val="00116C85"/>
    <w:rsid w:val="00127F71"/>
    <w:rsid w:val="00136158"/>
    <w:rsid w:val="001B1B15"/>
    <w:rsid w:val="001E6464"/>
    <w:rsid w:val="00277A6C"/>
    <w:rsid w:val="002E5834"/>
    <w:rsid w:val="00332EF7"/>
    <w:rsid w:val="00345E1E"/>
    <w:rsid w:val="00350419"/>
    <w:rsid w:val="003637ED"/>
    <w:rsid w:val="003877AE"/>
    <w:rsid w:val="003C6482"/>
    <w:rsid w:val="00414D4F"/>
    <w:rsid w:val="00424D9D"/>
    <w:rsid w:val="00511CF3"/>
    <w:rsid w:val="00522D6D"/>
    <w:rsid w:val="00530B9E"/>
    <w:rsid w:val="005332E5"/>
    <w:rsid w:val="005375F0"/>
    <w:rsid w:val="005650ED"/>
    <w:rsid w:val="00576E3A"/>
    <w:rsid w:val="0058712E"/>
    <w:rsid w:val="005A6562"/>
    <w:rsid w:val="005E6439"/>
    <w:rsid w:val="00614892"/>
    <w:rsid w:val="00632FA0"/>
    <w:rsid w:val="006465A8"/>
    <w:rsid w:val="00660FB1"/>
    <w:rsid w:val="00670A56"/>
    <w:rsid w:val="00671167"/>
    <w:rsid w:val="006857DF"/>
    <w:rsid w:val="006B0AF1"/>
    <w:rsid w:val="006B7EDF"/>
    <w:rsid w:val="00700BC8"/>
    <w:rsid w:val="00703B18"/>
    <w:rsid w:val="00785DBD"/>
    <w:rsid w:val="007B7B87"/>
    <w:rsid w:val="00800BF5"/>
    <w:rsid w:val="00816AEC"/>
    <w:rsid w:val="00825BBF"/>
    <w:rsid w:val="00882C68"/>
    <w:rsid w:val="008A6955"/>
    <w:rsid w:val="008B04C8"/>
    <w:rsid w:val="008D4BBE"/>
    <w:rsid w:val="00911010"/>
    <w:rsid w:val="00940935"/>
    <w:rsid w:val="0094720B"/>
    <w:rsid w:val="0095296C"/>
    <w:rsid w:val="00971CAF"/>
    <w:rsid w:val="00A179E3"/>
    <w:rsid w:val="00A52144"/>
    <w:rsid w:val="00A531D7"/>
    <w:rsid w:val="00A659B9"/>
    <w:rsid w:val="00A82CE2"/>
    <w:rsid w:val="00A85F4B"/>
    <w:rsid w:val="00AC0E17"/>
    <w:rsid w:val="00AD02E7"/>
    <w:rsid w:val="00B275F2"/>
    <w:rsid w:val="00B326F0"/>
    <w:rsid w:val="00B36AD6"/>
    <w:rsid w:val="00B4446A"/>
    <w:rsid w:val="00B62F0F"/>
    <w:rsid w:val="00B76E38"/>
    <w:rsid w:val="00BD17D3"/>
    <w:rsid w:val="00C35FE4"/>
    <w:rsid w:val="00C607D4"/>
    <w:rsid w:val="00CA36F2"/>
    <w:rsid w:val="00CC090A"/>
    <w:rsid w:val="00CC5970"/>
    <w:rsid w:val="00CE2984"/>
    <w:rsid w:val="00D75F38"/>
    <w:rsid w:val="00E2478C"/>
    <w:rsid w:val="00E24AC2"/>
    <w:rsid w:val="00E656D6"/>
    <w:rsid w:val="00EB440D"/>
    <w:rsid w:val="00EB6069"/>
    <w:rsid w:val="00EE1710"/>
    <w:rsid w:val="00EF510E"/>
    <w:rsid w:val="00F26D60"/>
    <w:rsid w:val="00F913ED"/>
    <w:rsid w:val="00F959F5"/>
    <w:rsid w:val="00F967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AD6"/>
  </w:style>
  <w:style w:type="paragraph" w:styleId="Heading1">
    <w:name w:val="heading 1"/>
    <w:basedOn w:val="normal0"/>
    <w:next w:val="normal0"/>
    <w:link w:val="Heading1Char"/>
    <w:rsid w:val="00703B18"/>
    <w:pPr>
      <w:keepNext/>
      <w:keepLines/>
      <w:spacing w:before="480"/>
      <w:outlineLvl w:val="0"/>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16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panchor">
    <w:name w:val="panchor"/>
    <w:basedOn w:val="DefaultParagraphFont"/>
    <w:rsid w:val="00671167"/>
  </w:style>
  <w:style w:type="paragraph" w:styleId="ListParagraph">
    <w:name w:val="List Paragraph"/>
    <w:basedOn w:val="Normal"/>
    <w:uiPriority w:val="34"/>
    <w:qFormat/>
    <w:rsid w:val="005650ED"/>
    <w:pPr>
      <w:ind w:left="720"/>
      <w:contextualSpacing/>
    </w:pPr>
  </w:style>
  <w:style w:type="paragraph" w:styleId="BalloonText">
    <w:name w:val="Balloon Text"/>
    <w:basedOn w:val="Normal"/>
    <w:link w:val="BalloonTextChar"/>
    <w:uiPriority w:val="99"/>
    <w:semiHidden/>
    <w:unhideWhenUsed/>
    <w:rsid w:val="0052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D6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AD02E7"/>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TopofFormChar">
    <w:name w:val="z-Top of Form Char"/>
    <w:basedOn w:val="DefaultParagraphFont"/>
    <w:link w:val="z-TopofForm"/>
    <w:uiPriority w:val="99"/>
    <w:semiHidden/>
    <w:rsid w:val="00AD02E7"/>
    <w:rPr>
      <w:rFonts w:ascii="Arial" w:eastAsia="Times New Roman" w:hAnsi="Arial" w:cs="Arial"/>
      <w:vanish/>
      <w:sz w:val="16"/>
      <w:szCs w:val="16"/>
      <w:lang w:eastAsia="ro-RO"/>
    </w:rPr>
  </w:style>
  <w:style w:type="character" w:customStyle="1" w:styleId="cautarehighlightedcurrentelement">
    <w:name w:val="cautarehighlightedcurrentelement"/>
    <w:basedOn w:val="DefaultParagraphFont"/>
    <w:rsid w:val="00AD02E7"/>
  </w:style>
  <w:style w:type="paragraph" w:styleId="z-BottomofForm">
    <w:name w:val="HTML Bottom of Form"/>
    <w:basedOn w:val="Normal"/>
    <w:next w:val="Normal"/>
    <w:link w:val="z-BottomofFormChar"/>
    <w:hidden/>
    <w:uiPriority w:val="99"/>
    <w:semiHidden/>
    <w:unhideWhenUsed/>
    <w:rsid w:val="00AD02E7"/>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AD02E7"/>
    <w:rPr>
      <w:rFonts w:ascii="Arial" w:eastAsia="Times New Roman" w:hAnsi="Arial" w:cs="Arial"/>
      <w:vanish/>
      <w:sz w:val="16"/>
      <w:szCs w:val="16"/>
      <w:lang w:eastAsia="ro-RO"/>
    </w:rPr>
  </w:style>
  <w:style w:type="character" w:customStyle="1" w:styleId="st1">
    <w:name w:val="st1"/>
    <w:uiPriority w:val="99"/>
    <w:rsid w:val="00042AE5"/>
  </w:style>
  <w:style w:type="character" w:styleId="Hyperlink">
    <w:name w:val="Hyperlink"/>
    <w:basedOn w:val="DefaultParagraphFont"/>
    <w:uiPriority w:val="99"/>
    <w:semiHidden/>
    <w:unhideWhenUsed/>
    <w:rsid w:val="00911010"/>
    <w:rPr>
      <w:color w:val="0000FF"/>
      <w:u w:val="single"/>
    </w:rPr>
  </w:style>
  <w:style w:type="character" w:customStyle="1" w:styleId="Heading1Char">
    <w:name w:val="Heading 1 Char"/>
    <w:basedOn w:val="DefaultParagraphFont"/>
    <w:link w:val="Heading1"/>
    <w:rsid w:val="00703B18"/>
    <w:rPr>
      <w:rFonts w:ascii="Calibri" w:eastAsia="Calibri" w:hAnsi="Calibri" w:cs="Calibri"/>
      <w:b/>
      <w:color w:val="000000"/>
      <w:sz w:val="36"/>
      <w:szCs w:val="36"/>
      <w:lang w:val="en-US" w:eastAsia="ro-RO"/>
    </w:rPr>
  </w:style>
  <w:style w:type="paragraph" w:customStyle="1" w:styleId="normal0">
    <w:name w:val="normal"/>
    <w:rsid w:val="00703B18"/>
    <w:pPr>
      <w:pBdr>
        <w:top w:val="nil"/>
        <w:left w:val="nil"/>
        <w:bottom w:val="nil"/>
        <w:right w:val="nil"/>
        <w:between w:val="nil"/>
      </w:pBdr>
      <w:spacing w:after="0" w:line="240" w:lineRule="auto"/>
    </w:pPr>
    <w:rPr>
      <w:rFonts w:ascii="Calibri" w:eastAsia="Calibri" w:hAnsi="Calibri" w:cs="Calibri"/>
      <w:color w:val="000000"/>
      <w:lang w:val="en-US" w:eastAsia="ro-RO"/>
    </w:rPr>
  </w:style>
  <w:style w:type="character" w:customStyle="1" w:styleId="object">
    <w:name w:val="object"/>
    <w:basedOn w:val="DefaultParagraphFont"/>
    <w:rsid w:val="00350419"/>
  </w:style>
  <w:style w:type="paragraph" w:styleId="NoSpacing">
    <w:name w:val="No Spacing"/>
    <w:uiPriority w:val="1"/>
    <w:qFormat/>
    <w:rsid w:val="00424D9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199249934">
      <w:bodyDiv w:val="1"/>
      <w:marLeft w:val="0"/>
      <w:marRight w:val="0"/>
      <w:marTop w:val="0"/>
      <w:marBottom w:val="0"/>
      <w:divBdr>
        <w:top w:val="none" w:sz="0" w:space="0" w:color="auto"/>
        <w:left w:val="none" w:sz="0" w:space="0" w:color="auto"/>
        <w:bottom w:val="none" w:sz="0" w:space="0" w:color="auto"/>
        <w:right w:val="none" w:sz="0" w:space="0" w:color="auto"/>
      </w:divBdr>
    </w:div>
    <w:div w:id="582640957">
      <w:bodyDiv w:val="1"/>
      <w:marLeft w:val="0"/>
      <w:marRight w:val="0"/>
      <w:marTop w:val="0"/>
      <w:marBottom w:val="0"/>
      <w:divBdr>
        <w:top w:val="none" w:sz="0" w:space="0" w:color="auto"/>
        <w:left w:val="none" w:sz="0" w:space="0" w:color="auto"/>
        <w:bottom w:val="none" w:sz="0" w:space="0" w:color="auto"/>
        <w:right w:val="none" w:sz="0" w:space="0" w:color="auto"/>
      </w:divBdr>
    </w:div>
    <w:div w:id="1001393479">
      <w:bodyDiv w:val="1"/>
      <w:marLeft w:val="0"/>
      <w:marRight w:val="0"/>
      <w:marTop w:val="0"/>
      <w:marBottom w:val="0"/>
      <w:divBdr>
        <w:top w:val="none" w:sz="0" w:space="0" w:color="auto"/>
        <w:left w:val="none" w:sz="0" w:space="0" w:color="auto"/>
        <w:bottom w:val="none" w:sz="0" w:space="0" w:color="auto"/>
        <w:right w:val="none" w:sz="0" w:space="0" w:color="auto"/>
      </w:divBdr>
    </w:div>
    <w:div w:id="1265113240">
      <w:bodyDiv w:val="1"/>
      <w:marLeft w:val="0"/>
      <w:marRight w:val="0"/>
      <w:marTop w:val="0"/>
      <w:marBottom w:val="0"/>
      <w:divBdr>
        <w:top w:val="none" w:sz="0" w:space="0" w:color="auto"/>
        <w:left w:val="none" w:sz="0" w:space="0" w:color="auto"/>
        <w:bottom w:val="none" w:sz="0" w:space="0" w:color="auto"/>
        <w:right w:val="none" w:sz="0" w:space="0" w:color="auto"/>
      </w:divBdr>
      <w:divsChild>
        <w:div w:id="70008800">
          <w:marLeft w:val="0"/>
          <w:marRight w:val="0"/>
          <w:marTop w:val="0"/>
          <w:marBottom w:val="0"/>
          <w:divBdr>
            <w:top w:val="none" w:sz="0" w:space="0" w:color="auto"/>
            <w:left w:val="none" w:sz="0" w:space="0" w:color="auto"/>
            <w:bottom w:val="none" w:sz="0" w:space="0" w:color="auto"/>
            <w:right w:val="none" w:sz="0" w:space="0" w:color="auto"/>
          </w:divBdr>
        </w:div>
        <w:div w:id="568080490">
          <w:marLeft w:val="0"/>
          <w:marRight w:val="0"/>
          <w:marTop w:val="0"/>
          <w:marBottom w:val="0"/>
          <w:divBdr>
            <w:top w:val="none" w:sz="0" w:space="0" w:color="auto"/>
            <w:left w:val="none" w:sz="0" w:space="0" w:color="auto"/>
            <w:bottom w:val="none" w:sz="0" w:space="0" w:color="auto"/>
            <w:right w:val="none" w:sz="0" w:space="0" w:color="auto"/>
          </w:divBdr>
        </w:div>
        <w:div w:id="1320502094">
          <w:marLeft w:val="0"/>
          <w:marRight w:val="0"/>
          <w:marTop w:val="0"/>
          <w:marBottom w:val="0"/>
          <w:divBdr>
            <w:top w:val="none" w:sz="0" w:space="0" w:color="auto"/>
            <w:left w:val="none" w:sz="0" w:space="0" w:color="auto"/>
            <w:bottom w:val="none" w:sz="0" w:space="0" w:color="auto"/>
            <w:right w:val="none" w:sz="0" w:space="0" w:color="auto"/>
          </w:divBdr>
        </w:div>
        <w:div w:id="890069302">
          <w:marLeft w:val="0"/>
          <w:marRight w:val="0"/>
          <w:marTop w:val="0"/>
          <w:marBottom w:val="0"/>
          <w:divBdr>
            <w:top w:val="none" w:sz="0" w:space="0" w:color="auto"/>
            <w:left w:val="none" w:sz="0" w:space="0" w:color="auto"/>
            <w:bottom w:val="none" w:sz="0" w:space="0" w:color="auto"/>
            <w:right w:val="none" w:sz="0" w:space="0" w:color="auto"/>
          </w:divBdr>
        </w:div>
        <w:div w:id="33427608">
          <w:marLeft w:val="0"/>
          <w:marRight w:val="0"/>
          <w:marTop w:val="0"/>
          <w:marBottom w:val="0"/>
          <w:divBdr>
            <w:top w:val="none" w:sz="0" w:space="0" w:color="auto"/>
            <w:left w:val="none" w:sz="0" w:space="0" w:color="auto"/>
            <w:bottom w:val="none" w:sz="0" w:space="0" w:color="auto"/>
            <w:right w:val="none" w:sz="0" w:space="0" w:color="auto"/>
          </w:divBdr>
        </w:div>
        <w:div w:id="744764120">
          <w:marLeft w:val="0"/>
          <w:marRight w:val="0"/>
          <w:marTop w:val="0"/>
          <w:marBottom w:val="0"/>
          <w:divBdr>
            <w:top w:val="none" w:sz="0" w:space="0" w:color="auto"/>
            <w:left w:val="none" w:sz="0" w:space="0" w:color="auto"/>
            <w:bottom w:val="none" w:sz="0" w:space="0" w:color="auto"/>
            <w:right w:val="none" w:sz="0" w:space="0" w:color="auto"/>
          </w:divBdr>
        </w:div>
        <w:div w:id="538014314">
          <w:marLeft w:val="0"/>
          <w:marRight w:val="0"/>
          <w:marTop w:val="0"/>
          <w:marBottom w:val="0"/>
          <w:divBdr>
            <w:top w:val="none" w:sz="0" w:space="0" w:color="auto"/>
            <w:left w:val="none" w:sz="0" w:space="0" w:color="auto"/>
            <w:bottom w:val="none" w:sz="0" w:space="0" w:color="auto"/>
            <w:right w:val="none" w:sz="0" w:space="0" w:color="auto"/>
          </w:divBdr>
        </w:div>
        <w:div w:id="1946305367">
          <w:marLeft w:val="0"/>
          <w:marRight w:val="0"/>
          <w:marTop w:val="0"/>
          <w:marBottom w:val="0"/>
          <w:divBdr>
            <w:top w:val="none" w:sz="0" w:space="0" w:color="auto"/>
            <w:left w:val="none" w:sz="0" w:space="0" w:color="auto"/>
            <w:bottom w:val="none" w:sz="0" w:space="0" w:color="auto"/>
            <w:right w:val="none" w:sz="0" w:space="0" w:color="auto"/>
          </w:divBdr>
        </w:div>
        <w:div w:id="2069109967">
          <w:marLeft w:val="0"/>
          <w:marRight w:val="0"/>
          <w:marTop w:val="0"/>
          <w:marBottom w:val="0"/>
          <w:divBdr>
            <w:top w:val="none" w:sz="0" w:space="0" w:color="auto"/>
            <w:left w:val="none" w:sz="0" w:space="0" w:color="auto"/>
            <w:bottom w:val="none" w:sz="0" w:space="0" w:color="auto"/>
            <w:right w:val="none" w:sz="0" w:space="0" w:color="auto"/>
          </w:divBdr>
        </w:div>
        <w:div w:id="1205946710">
          <w:marLeft w:val="0"/>
          <w:marRight w:val="0"/>
          <w:marTop w:val="0"/>
          <w:marBottom w:val="0"/>
          <w:divBdr>
            <w:top w:val="none" w:sz="0" w:space="0" w:color="auto"/>
            <w:left w:val="none" w:sz="0" w:space="0" w:color="auto"/>
            <w:bottom w:val="none" w:sz="0" w:space="0" w:color="auto"/>
            <w:right w:val="none" w:sz="0" w:space="0" w:color="auto"/>
          </w:divBdr>
        </w:div>
      </w:divsChild>
    </w:div>
    <w:div w:id="1985770583">
      <w:bodyDiv w:val="1"/>
      <w:marLeft w:val="0"/>
      <w:marRight w:val="0"/>
      <w:marTop w:val="0"/>
      <w:marBottom w:val="0"/>
      <w:divBdr>
        <w:top w:val="none" w:sz="0" w:space="0" w:color="auto"/>
        <w:left w:val="none" w:sz="0" w:space="0" w:color="auto"/>
        <w:bottom w:val="none" w:sz="0" w:space="0" w:color="auto"/>
        <w:right w:val="none" w:sz="0" w:space="0" w:color="auto"/>
      </w:divBdr>
      <w:divsChild>
        <w:div w:id="91783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5D501-6166-4283-809A-B848E85C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685</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cador.anca</dc:creator>
  <cp:lastModifiedBy>cador.anca</cp:lastModifiedBy>
  <cp:revision>3</cp:revision>
  <cp:lastPrinted>2019-07-15T10:31:00Z</cp:lastPrinted>
  <dcterms:created xsi:type="dcterms:W3CDTF">2021-12-07T10:46:00Z</dcterms:created>
  <dcterms:modified xsi:type="dcterms:W3CDTF">2021-12-07T10:50:00Z</dcterms:modified>
</cp:coreProperties>
</file>