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43" w:rsidRPr="00180643" w:rsidRDefault="00180643" w:rsidP="00180643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r w:rsidRPr="00180643">
        <w:rPr>
          <w:rFonts w:ascii="Trebuchet MS" w:hAnsi="Trebuchet MS" w:cs="Arial"/>
          <w:color w:val="000000" w:themeColor="text1"/>
          <w:sz w:val="24"/>
          <w:szCs w:val="24"/>
        </w:rPr>
        <w:t>CONTRACTUL DE DELEGARE</w:t>
      </w:r>
    </w:p>
    <w:p w:rsidR="00180643" w:rsidRPr="00180643" w:rsidRDefault="00180643" w:rsidP="00180643">
      <w:pPr>
        <w:pStyle w:val="ListParagraph"/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180643" w:rsidRPr="00180643" w:rsidRDefault="00180643" w:rsidP="00180643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7B7B87" w:rsidRPr="00180643" w:rsidRDefault="00940935" w:rsidP="007B7B87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80643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7B7B87" w:rsidRPr="00180643">
        <w:rPr>
          <w:rFonts w:ascii="Trebuchet MS" w:hAnsi="Trebuchet MS" w:cs="Arial"/>
          <w:b/>
          <w:color w:val="000000" w:themeColor="text1"/>
          <w:sz w:val="24"/>
          <w:szCs w:val="24"/>
        </w:rPr>
        <w:t>Contractul de delegare a gestiunii</w:t>
      </w:r>
      <w:r w:rsidR="007B7B87" w:rsidRPr="00180643">
        <w:rPr>
          <w:rFonts w:ascii="Trebuchet MS" w:hAnsi="Trebuchet MS" w:cs="Arial"/>
          <w:color w:val="000000" w:themeColor="text1"/>
          <w:sz w:val="24"/>
          <w:szCs w:val="24"/>
        </w:rPr>
        <w:t xml:space="preserve"> este un contract încheiat în formă scrisă, prin care unităţile administrativ-teritoriale, individual sau în asociere, după caz, </w:t>
      </w:r>
      <w:r w:rsidR="007B7B87" w:rsidRPr="00180643">
        <w:rPr>
          <w:rFonts w:ascii="Trebuchet MS" w:hAnsi="Trebuchet MS" w:cs="Arial"/>
          <w:b/>
          <w:color w:val="000000" w:themeColor="text1"/>
          <w:sz w:val="24"/>
          <w:szCs w:val="24"/>
        </w:rPr>
        <w:t>în calitate de delegatar</w:t>
      </w:r>
      <w:r w:rsidR="007B7B87" w:rsidRPr="00180643">
        <w:rPr>
          <w:rFonts w:ascii="Trebuchet MS" w:hAnsi="Trebuchet MS" w:cs="Arial"/>
          <w:color w:val="000000" w:themeColor="text1"/>
          <w:sz w:val="24"/>
          <w:szCs w:val="24"/>
        </w:rPr>
        <w:t xml:space="preserve">, atribuie, prin una dintre modalităţile prevăzute de lege, pe o perioadă determinată, unui </w:t>
      </w:r>
      <w:r w:rsidR="007B7B87" w:rsidRPr="00180643">
        <w:rPr>
          <w:rFonts w:ascii="Trebuchet MS" w:hAnsi="Trebuchet MS" w:cs="Arial"/>
          <w:b/>
          <w:color w:val="000000" w:themeColor="text1"/>
          <w:sz w:val="24"/>
          <w:szCs w:val="24"/>
        </w:rPr>
        <w:t>operator, în calitate de delegat,</w:t>
      </w:r>
      <w:r w:rsidR="007B7B87" w:rsidRPr="00180643">
        <w:rPr>
          <w:rFonts w:ascii="Trebuchet MS" w:hAnsi="Trebuchet MS" w:cs="Arial"/>
          <w:color w:val="000000" w:themeColor="text1"/>
          <w:sz w:val="24"/>
          <w:szCs w:val="24"/>
        </w:rPr>
        <w:t xml:space="preserve"> care acţionează pe riscul şi răspunderea sa, dreptul şi obligaţia de a furniza/presta integral un serviciu de utilităţi publice ori, după caz, numai unele activităţi specifice acestuia, inclusiv dreptul şi obligaţia de a administra şi de a exploata infrastructura tehnico-edilitară aferentă serviciului/activităţii furnizate/prestate, în schimbul unei redevenţe, după caz. </w:t>
      </w:r>
    </w:p>
    <w:p w:rsidR="00180643" w:rsidRPr="00180643" w:rsidRDefault="007B7B87" w:rsidP="007B7B87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80643">
        <w:rPr>
          <w:rFonts w:ascii="Trebuchet MS" w:hAnsi="Trebuchet MS" w:cs="Arial"/>
          <w:color w:val="000000" w:themeColor="text1"/>
          <w:sz w:val="24"/>
          <w:szCs w:val="24"/>
        </w:rPr>
        <w:t xml:space="preserve">       </w:t>
      </w:r>
    </w:p>
    <w:p w:rsidR="007B7B87" w:rsidRPr="00180643" w:rsidRDefault="007B7B87" w:rsidP="0018064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80643">
        <w:rPr>
          <w:rFonts w:ascii="Trebuchet MS" w:hAnsi="Trebuchet MS" w:cs="Arial"/>
          <w:color w:val="000000" w:themeColor="text1"/>
          <w:sz w:val="24"/>
          <w:szCs w:val="24"/>
        </w:rPr>
        <w:t>Contractul de delegare a gestiunii serviciilor de utilităţi publice poate fi:</w:t>
      </w:r>
    </w:p>
    <w:p w:rsidR="007B7B87" w:rsidRPr="00180643" w:rsidRDefault="007B7B87" w:rsidP="007B7B87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80643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180643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180643">
        <w:rPr>
          <w:rFonts w:ascii="Trebuchet MS" w:hAnsi="Trebuchet MS" w:cs="Arial"/>
          <w:color w:val="000000" w:themeColor="text1"/>
          <w:sz w:val="24"/>
          <w:szCs w:val="24"/>
        </w:rPr>
        <w:t>a) contract de concesiune de servicii;</w:t>
      </w:r>
    </w:p>
    <w:p w:rsidR="00180643" w:rsidRDefault="007B7B87" w:rsidP="00180643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80643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180643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180643">
        <w:rPr>
          <w:rFonts w:ascii="Trebuchet MS" w:hAnsi="Trebuchet MS" w:cs="Arial"/>
          <w:color w:val="000000" w:themeColor="text1"/>
          <w:sz w:val="24"/>
          <w:szCs w:val="24"/>
        </w:rPr>
        <w:t>b) contract de achiziţie publică de servicii.</w:t>
      </w:r>
    </w:p>
    <w:p w:rsidR="00180643" w:rsidRDefault="00180643" w:rsidP="00180643">
      <w:pPr>
        <w:spacing w:after="0" w:line="240" w:lineRule="auto"/>
        <w:jc w:val="both"/>
        <w:rPr>
          <w:rFonts w:hAnsi="Arial"/>
        </w:rPr>
      </w:pPr>
    </w:p>
    <w:p w:rsidR="00180643" w:rsidRDefault="007B7B87" w:rsidP="0018064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80643">
        <w:rPr>
          <w:rFonts w:ascii="Trebuchet MS" w:hAnsi="Trebuchet MS" w:cs="Arial"/>
          <w:color w:val="000000" w:themeColor="text1"/>
          <w:sz w:val="24"/>
          <w:szCs w:val="24"/>
        </w:rPr>
        <w:t>Contractul de delegare a gestiunii va fi însoţit în mod obligatoriu de următoarele anexe: </w:t>
      </w:r>
    </w:p>
    <w:p w:rsidR="007B7B87" w:rsidRP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>a)</w:t>
      </w:r>
      <w:r w:rsidR="007B7B87" w:rsidRPr="00180643">
        <w:rPr>
          <w:rFonts w:ascii="Trebuchet MS" w:hAnsi="Trebuchet MS" w:cs="Arial"/>
          <w:color w:val="000000" w:themeColor="text1"/>
          <w:sz w:val="24"/>
          <w:szCs w:val="24"/>
        </w:rPr>
        <w:t>caietul de sarcini privind furnizarea/prestarea serviciului;</w:t>
      </w:r>
    </w:p>
    <w:p w:rsidR="007B7B87" w:rsidRPr="00180643" w:rsidRDefault="007B7B87" w:rsidP="007B7B87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80643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180643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="00180643">
        <w:rPr>
          <w:rFonts w:ascii="Trebuchet MS" w:hAnsi="Arial" w:cs="Arial"/>
          <w:color w:val="000000" w:themeColor="text1"/>
          <w:sz w:val="24"/>
          <w:szCs w:val="24"/>
        </w:rPr>
        <w:tab/>
      </w:r>
      <w:r w:rsidRPr="00180643">
        <w:rPr>
          <w:rFonts w:ascii="Trebuchet MS" w:hAnsi="Trebuchet MS" w:cs="Arial"/>
          <w:color w:val="000000" w:themeColor="text1"/>
          <w:sz w:val="24"/>
          <w:szCs w:val="24"/>
        </w:rPr>
        <w:t>b) regulamentul serviciului;</w:t>
      </w:r>
    </w:p>
    <w:p w:rsidR="007B7B87" w:rsidRPr="00180643" w:rsidRDefault="007B7B87" w:rsidP="00180643">
      <w:pPr>
        <w:spacing w:after="0" w:line="240" w:lineRule="auto"/>
        <w:ind w:left="705" w:hanging="705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80643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180643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="00180643">
        <w:rPr>
          <w:rFonts w:ascii="Trebuchet MS" w:hAnsi="Arial" w:cs="Arial"/>
          <w:color w:val="000000" w:themeColor="text1"/>
          <w:sz w:val="24"/>
          <w:szCs w:val="24"/>
        </w:rPr>
        <w:tab/>
      </w:r>
      <w:r w:rsidRPr="00180643">
        <w:rPr>
          <w:rFonts w:ascii="Trebuchet MS" w:hAnsi="Trebuchet MS" w:cs="Arial"/>
          <w:color w:val="000000" w:themeColor="text1"/>
          <w:sz w:val="24"/>
          <w:szCs w:val="24"/>
        </w:rPr>
        <w:t>c) inventarul bunurilor mobile şi imobile, proprietate publică sau privată a unităţilor administrativ-teritoriale, aferente serviciului;</w:t>
      </w:r>
    </w:p>
    <w:p w:rsidR="007B7B87" w:rsidRDefault="007B7B87" w:rsidP="007B7B87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80643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180643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="00180643">
        <w:rPr>
          <w:rFonts w:ascii="Trebuchet MS" w:hAnsi="Arial" w:cs="Arial"/>
          <w:color w:val="000000" w:themeColor="text1"/>
          <w:sz w:val="24"/>
          <w:szCs w:val="24"/>
        </w:rPr>
        <w:tab/>
      </w:r>
      <w:r w:rsidRPr="00180643">
        <w:rPr>
          <w:rFonts w:ascii="Trebuchet MS" w:hAnsi="Trebuchet MS" w:cs="Arial"/>
          <w:color w:val="000000" w:themeColor="text1"/>
          <w:sz w:val="24"/>
          <w:szCs w:val="24"/>
        </w:rPr>
        <w:t xml:space="preserve">d)procesul-verbal de predare-preluare a bunurilor prevăzute mai sus </w:t>
      </w:r>
      <w:r w:rsidRPr="00180643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Pr="00180643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180643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="00180643">
        <w:rPr>
          <w:rFonts w:ascii="Trebuchet MS" w:hAnsi="Arial" w:cs="Arial"/>
          <w:color w:val="000000" w:themeColor="text1"/>
          <w:sz w:val="24"/>
          <w:szCs w:val="24"/>
        </w:rPr>
        <w:tab/>
      </w:r>
      <w:r w:rsidRPr="00180643">
        <w:rPr>
          <w:rFonts w:ascii="Trebuchet MS" w:hAnsi="Trebuchet MS" w:cs="Arial"/>
          <w:color w:val="000000" w:themeColor="text1"/>
          <w:sz w:val="24"/>
          <w:szCs w:val="24"/>
        </w:rPr>
        <w:t>e) indicatori tehnici corelaţi cu ţintele/obiectivele asumate la nivel naţional.</w:t>
      </w:r>
    </w:p>
    <w:p w:rsidR="00180643" w:rsidRPr="00180643" w:rsidRDefault="00180643" w:rsidP="007B7B87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180643" w:rsidRPr="00180643" w:rsidRDefault="00180643" w:rsidP="0018064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Contractul de delegare a gestiunii cuprinde în mod obligatoriu clauze referitoare la:</w:t>
      </w:r>
      <w:r w:rsidRPr="00180643">
        <w:rPr>
          <w:rFonts w:ascii="Trebuchet MS" w:hAnsi="Trebuchet MS"/>
          <w:color w:val="000000" w:themeColor="text1"/>
          <w:sz w:val="24"/>
          <w:szCs w:val="24"/>
        </w:rPr>
        <w:br/>
      </w: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a) denumirea părţilor contractante;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b) obiectul contractului, cu indicarea activităţilor din sfera serviciului de utilităţi publice ce urmează a fi furnizate/prestate în baza contractului de delegare a gestiunii, astfel cum sunt prevăzute în legile speciale;</w:t>
      </w:r>
      <w:r w:rsidRPr="00180643">
        <w:rPr>
          <w:rFonts w:ascii="Trebuchet MS" w:hAnsi="Trebuchet MS"/>
          <w:color w:val="000000" w:themeColor="text1"/>
          <w:sz w:val="24"/>
          <w:szCs w:val="24"/>
        </w:rPr>
        <w:br/>
      </w: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c) durata contractului;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d) aria teritorială pe care vor fi prestate serviciile;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e) drepturile şi obligaţiile părţilor contractante cu privire la furnizarea/prestarea serviciului şi la sistemul de utilităţi publice aferent, inclusiv conţinutul şi durata obligaţiilor de serviciu public;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f) modul de repartizare a riscurilor între părţi, în cazul contractelor de concesiune;</w:t>
      </w:r>
      <w:r w:rsidRPr="00180643">
        <w:rPr>
          <w:rFonts w:ascii="Trebuchet MS" w:hAnsi="Trebuchet MS"/>
          <w:color w:val="000000" w:themeColor="text1"/>
          <w:sz w:val="24"/>
          <w:szCs w:val="24"/>
        </w:rPr>
        <w:br/>
      </w: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g) natura oricăror drepturi exclusive sau speciale acordate delegatului;</w:t>
      </w:r>
      <w:r w:rsidRPr="00180643">
        <w:rPr>
          <w:rFonts w:ascii="Trebuchet MS" w:hAnsi="Trebuchet MS"/>
          <w:color w:val="000000" w:themeColor="text1"/>
          <w:sz w:val="24"/>
          <w:szCs w:val="24"/>
        </w:rPr>
        <w:br/>
      </w: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h) sarcinile şi responsabilităţile părţilor cu privire la investiţii/programele de investiţii, precum reabilitări, modernizări, obiective noi, extinderi, inclusiv modul de finanţare a acestora;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i) indicatorii de performanţă privind calitatea şi cantitatea serviciului şi modul de monitorizare şi evaluare a îndeplinirii acestora;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j) preţurile/tarifele pe care delegatul are dreptul să le practice la data începerii furnizării/prestării serviciului, precum şi regulile, principiile şi/sau formulele de ajustare şi modificare a acestora;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k) compensaţia pentru obligaţiile de serviciu public în sarcina delegatului, dacă este cazul, cu indicarea parametrilor de calcul, control şi revizuire a compensaţiei, precum şi modalităţile de evitare şi recuperare a oricărei supracompensaţii;</w:t>
      </w:r>
      <w:r w:rsidRPr="00180643">
        <w:rPr>
          <w:rFonts w:ascii="Trebuchet MS" w:hAnsi="Trebuchet MS"/>
          <w:color w:val="000000" w:themeColor="text1"/>
          <w:sz w:val="24"/>
          <w:szCs w:val="24"/>
        </w:rPr>
        <w:br/>
      </w:r>
      <w:r w:rsidRPr="00180643">
        <w:rPr>
          <w:rFonts w:hAnsi="Courier New"/>
        </w:rPr>
        <w:lastRenderedPageBreak/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l) modul de facturare a contravalorii serviciilor furnizate/prestate direct utilizatorilor şi/sau delegatarului, după caz;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m) nivelul redevenţei sau al altor obligaţii, după caz; la stabilirea nivelului redevenţei, autoritatea publică locală va lua în considerare valoarea calculată similar amortizării pentru mijloacele fixe aflate în proprietate publică şi puse la dispoziţie operatorului odată cu încredinţarea serviciului/activităţii de utilităţi publice şi gradul de suportabilitate al populaţiei. Nivelul redevenţei se stabileşte în mod transparent şi nediscriminatoriu pentru toţi potenţialii operatori de servicii de utilităţi publice, utilizându-se aceeaşi metodologie de calcul;</w:t>
      </w:r>
      <w:r w:rsidRPr="00180643">
        <w:rPr>
          <w:rFonts w:ascii="Trebuchet MS" w:hAnsi="Trebuchet MS"/>
          <w:color w:val="000000" w:themeColor="text1"/>
          <w:sz w:val="24"/>
          <w:szCs w:val="24"/>
        </w:rPr>
        <w:br/>
      </w: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n) garanţia de bună execuţie a contractului, cu indicarea valorii, modului de constituire şi de executare a acesteia;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o) răspunderea contractuală;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p) forţa majoră;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q) condiţiile de revizuire a clauzelor contractuale;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r) condiţiile de restituire sau repartiţie, după caz, a bunurilor, la încetarea din orice cauză a contractului de delegare a gestiunii, inclusiv a bunurilor rezultate din investiţiile realizate;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s) menţinerea echilibrului contractual;</w:t>
      </w:r>
    </w:p>
    <w:p w:rsidR="00180643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t) cazurile de încetare şi condiţiile de reziliere a contractului de delegare a gestiunii;</w:t>
      </w:r>
      <w:r w:rsidRPr="00180643">
        <w:rPr>
          <w:rFonts w:ascii="Trebuchet MS" w:hAnsi="Trebuchet MS"/>
          <w:color w:val="000000" w:themeColor="text1"/>
          <w:sz w:val="24"/>
          <w:szCs w:val="24"/>
        </w:rPr>
        <w:br/>
      </w: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u) forţa de muncă;</w:t>
      </w:r>
    </w:p>
    <w:p w:rsidR="003877AE" w:rsidRDefault="00180643" w:rsidP="00180643">
      <w:pPr>
        <w:pStyle w:val="ListParagraph"/>
        <w:spacing w:after="0" w:line="240" w:lineRule="auto"/>
        <w:jc w:val="both"/>
        <w:rPr>
          <w:rFonts w:ascii="Trebuchet MS" w:hAnsi="Trebuchet MS" w:cs="Courier New"/>
          <w:color w:val="000000" w:themeColor="text1"/>
          <w:sz w:val="24"/>
          <w:szCs w:val="24"/>
        </w:rPr>
      </w:pPr>
      <w:r w:rsidRPr="00180643">
        <w:rPr>
          <w:rFonts w:hAnsi="Courier New"/>
        </w:rPr>
        <w:t> </w:t>
      </w:r>
      <w:r w:rsidRPr="00180643">
        <w:rPr>
          <w:rFonts w:hAnsi="Courier New"/>
        </w:rPr>
        <w:t> </w:t>
      </w:r>
      <w:r w:rsidRPr="00180643">
        <w:rPr>
          <w:rFonts w:ascii="Trebuchet MS" w:hAnsi="Trebuchet MS" w:cs="Courier New"/>
          <w:color w:val="000000" w:themeColor="text1"/>
          <w:sz w:val="24"/>
          <w:szCs w:val="24"/>
        </w:rPr>
        <w:t>v) alte clauze convenite de părţi, după caz.</w:t>
      </w:r>
    </w:p>
    <w:p w:rsidR="00180643" w:rsidRDefault="00180643" w:rsidP="00180643">
      <w:p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180643" w:rsidRPr="00180643" w:rsidRDefault="00180643" w:rsidP="0018064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  <w:u w:val="single"/>
        </w:rPr>
      </w:pPr>
      <w:r w:rsidRPr="00180643">
        <w:rPr>
          <w:rFonts w:ascii="Trebuchet MS" w:hAnsi="Trebuchet MS" w:cs="Arial"/>
          <w:color w:val="000000" w:themeColor="text1"/>
          <w:sz w:val="24"/>
          <w:szCs w:val="24"/>
          <w:u w:val="single"/>
        </w:rPr>
        <w:t xml:space="preserve">Precizări importante </w:t>
      </w:r>
    </w:p>
    <w:p w:rsidR="00180643" w:rsidRPr="00180643" w:rsidRDefault="00180643" w:rsidP="001806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</w:rPr>
      </w:pPr>
      <w:r w:rsidRPr="00180643">
        <w:rPr>
          <w:rFonts w:ascii="Trebuchet MS" w:hAnsi="Trebuchet MS" w:cs="Arial"/>
          <w:b/>
          <w:i/>
          <w:color w:val="000000" w:themeColor="text1"/>
          <w:sz w:val="24"/>
          <w:szCs w:val="24"/>
        </w:rPr>
        <w:t xml:space="preserve">Subdelegarea de către operator a gestiunii serviciului/uneia sau mai multor activităţi din sfera serviciului de utilităţi publice este interzisă. </w:t>
      </w:r>
    </w:p>
    <w:p w:rsidR="00180643" w:rsidRPr="00180643" w:rsidRDefault="00180643" w:rsidP="001806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180643">
        <w:rPr>
          <w:rFonts w:ascii="Trebuchet MS" w:hAnsi="Trebuchet MS" w:cs="Arial"/>
          <w:b/>
          <w:i/>
          <w:color w:val="000000" w:themeColor="text1"/>
          <w:sz w:val="24"/>
          <w:szCs w:val="24"/>
        </w:rPr>
        <w:t>Subcontractarea de lucrări sau servicii conexe, necesare furnizării/prestării serviciului/uneia sau mai multor activităţi din sfera serviciului de utilităţi publice delegat/delegată, se face numai în condiţiile prevăzute de legislaţia din domeniul achiziţiilor publice. </w:t>
      </w:r>
    </w:p>
    <w:p w:rsidR="00180643" w:rsidRPr="00180643" w:rsidRDefault="00180643" w:rsidP="001806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180643">
        <w:rPr>
          <w:rFonts w:ascii="Trebuchet MS" w:hAnsi="Trebuchet MS" w:cs="Arial"/>
          <w:b/>
          <w:i/>
          <w:color w:val="000000" w:themeColor="text1"/>
          <w:sz w:val="24"/>
          <w:szCs w:val="24"/>
          <w:shd w:val="clear" w:color="auto" w:fill="FFFFFF"/>
        </w:rPr>
        <w:t>Cesiunea sau novaţia contractului de delegare a gestiunii este posibilă numai în cazul divizării, fuzionării ori înfiinţării unei filiale a operatorului, cu respectarea condiţiilor contractuale iniţiale şi cu aprobarea autorităţilor deliberative ale unităţilor administrativ-teritoriale.</w:t>
      </w:r>
    </w:p>
    <w:sectPr w:rsidR="00180643" w:rsidRPr="00180643" w:rsidSect="00AC0E17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5pt;height:11.5pt" o:bullet="t">
        <v:imagedata r:id="rId1" o:title="msoF07"/>
      </v:shape>
    </w:pict>
  </w:numPicBullet>
  <w:abstractNum w:abstractNumId="0">
    <w:nsid w:val="00B82ED2"/>
    <w:multiLevelType w:val="hybridMultilevel"/>
    <w:tmpl w:val="CDD63832"/>
    <w:lvl w:ilvl="0" w:tplc="0418000B">
      <w:start w:val="1"/>
      <w:numFmt w:val="bullet"/>
      <w:lvlText w:val=""/>
      <w:lvlJc w:val="left"/>
      <w:pPr>
        <w:ind w:left="8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01EA178D"/>
    <w:multiLevelType w:val="hybridMultilevel"/>
    <w:tmpl w:val="8DE060FA"/>
    <w:lvl w:ilvl="0" w:tplc="B814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B7441"/>
    <w:multiLevelType w:val="hybridMultilevel"/>
    <w:tmpl w:val="7F184AF6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755F6"/>
    <w:multiLevelType w:val="hybridMultilevel"/>
    <w:tmpl w:val="31AC15D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E596E"/>
    <w:multiLevelType w:val="hybridMultilevel"/>
    <w:tmpl w:val="126620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31B6"/>
    <w:multiLevelType w:val="hybridMultilevel"/>
    <w:tmpl w:val="CFFED0F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A4114"/>
    <w:multiLevelType w:val="hybridMultilevel"/>
    <w:tmpl w:val="E0FE04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D6B67"/>
    <w:multiLevelType w:val="hybridMultilevel"/>
    <w:tmpl w:val="24427A3C"/>
    <w:lvl w:ilvl="0" w:tplc="F200AC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5348B"/>
    <w:multiLevelType w:val="hybridMultilevel"/>
    <w:tmpl w:val="4570307E"/>
    <w:lvl w:ilvl="0" w:tplc="85626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C2BED"/>
    <w:multiLevelType w:val="hybridMultilevel"/>
    <w:tmpl w:val="DA7C65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604EF"/>
    <w:multiLevelType w:val="hybridMultilevel"/>
    <w:tmpl w:val="430237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0488"/>
    <w:multiLevelType w:val="hybridMultilevel"/>
    <w:tmpl w:val="954C0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C2E1A"/>
    <w:multiLevelType w:val="hybridMultilevel"/>
    <w:tmpl w:val="E22E7F38"/>
    <w:lvl w:ilvl="0" w:tplc="9CBE8D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FA289C"/>
    <w:multiLevelType w:val="hybridMultilevel"/>
    <w:tmpl w:val="2CAAFD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95F6D"/>
    <w:multiLevelType w:val="hybridMultilevel"/>
    <w:tmpl w:val="3B70C100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757D4C"/>
    <w:multiLevelType w:val="hybridMultilevel"/>
    <w:tmpl w:val="01022380"/>
    <w:lvl w:ilvl="0" w:tplc="5CE64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D36E0"/>
    <w:multiLevelType w:val="hybridMultilevel"/>
    <w:tmpl w:val="313AD0B0"/>
    <w:lvl w:ilvl="0" w:tplc="75A01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212EC"/>
    <w:multiLevelType w:val="multilevel"/>
    <w:tmpl w:val="508C7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C361364"/>
    <w:multiLevelType w:val="hybridMultilevel"/>
    <w:tmpl w:val="480C5B7A"/>
    <w:lvl w:ilvl="0" w:tplc="0418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>
    <w:nsid w:val="3DA65B60"/>
    <w:multiLevelType w:val="hybridMultilevel"/>
    <w:tmpl w:val="7B76CF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11162"/>
    <w:multiLevelType w:val="hybridMultilevel"/>
    <w:tmpl w:val="39B89B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8647C"/>
    <w:multiLevelType w:val="hybridMultilevel"/>
    <w:tmpl w:val="228C962E"/>
    <w:lvl w:ilvl="0" w:tplc="E7623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255E9"/>
    <w:multiLevelType w:val="hybridMultilevel"/>
    <w:tmpl w:val="B6BE476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67BE3"/>
    <w:multiLevelType w:val="hybridMultilevel"/>
    <w:tmpl w:val="FFEA65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43CF"/>
    <w:multiLevelType w:val="hybridMultilevel"/>
    <w:tmpl w:val="3746F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253DB"/>
    <w:multiLevelType w:val="hybridMultilevel"/>
    <w:tmpl w:val="1C123C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E0818"/>
    <w:multiLevelType w:val="hybridMultilevel"/>
    <w:tmpl w:val="E5709352"/>
    <w:lvl w:ilvl="0" w:tplc="5CBC35A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87C0A"/>
    <w:multiLevelType w:val="hybridMultilevel"/>
    <w:tmpl w:val="6B946BA2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F977791"/>
    <w:multiLevelType w:val="hybridMultilevel"/>
    <w:tmpl w:val="ACDA99E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96A7E"/>
    <w:multiLevelType w:val="hybridMultilevel"/>
    <w:tmpl w:val="9E6AF10A"/>
    <w:lvl w:ilvl="0" w:tplc="4E5A4D2A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1445C"/>
    <w:multiLevelType w:val="hybridMultilevel"/>
    <w:tmpl w:val="8AF45534"/>
    <w:lvl w:ilvl="0" w:tplc="0418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1">
    <w:nsid w:val="6FD3303A"/>
    <w:multiLevelType w:val="hybridMultilevel"/>
    <w:tmpl w:val="386260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358C2"/>
    <w:multiLevelType w:val="hybridMultilevel"/>
    <w:tmpl w:val="A59E2A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B111D"/>
    <w:multiLevelType w:val="hybridMultilevel"/>
    <w:tmpl w:val="29701AF2"/>
    <w:lvl w:ilvl="0" w:tplc="0418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33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18"/>
  </w:num>
  <w:num w:numId="10">
    <w:abstractNumId w:val="21"/>
  </w:num>
  <w:num w:numId="11">
    <w:abstractNumId w:val="31"/>
  </w:num>
  <w:num w:numId="12">
    <w:abstractNumId w:val="17"/>
  </w:num>
  <w:num w:numId="13">
    <w:abstractNumId w:val="22"/>
  </w:num>
  <w:num w:numId="14">
    <w:abstractNumId w:val="29"/>
  </w:num>
  <w:num w:numId="15">
    <w:abstractNumId w:val="26"/>
  </w:num>
  <w:num w:numId="16">
    <w:abstractNumId w:val="8"/>
  </w:num>
  <w:num w:numId="17">
    <w:abstractNumId w:val="15"/>
  </w:num>
  <w:num w:numId="18">
    <w:abstractNumId w:val="24"/>
  </w:num>
  <w:num w:numId="19">
    <w:abstractNumId w:val="16"/>
  </w:num>
  <w:num w:numId="20">
    <w:abstractNumId w:val="2"/>
  </w:num>
  <w:num w:numId="21">
    <w:abstractNumId w:val="7"/>
  </w:num>
  <w:num w:numId="22">
    <w:abstractNumId w:val="19"/>
  </w:num>
  <w:num w:numId="23">
    <w:abstractNumId w:val="28"/>
  </w:num>
  <w:num w:numId="24">
    <w:abstractNumId w:val="13"/>
  </w:num>
  <w:num w:numId="25">
    <w:abstractNumId w:val="32"/>
  </w:num>
  <w:num w:numId="26">
    <w:abstractNumId w:val="9"/>
  </w:num>
  <w:num w:numId="27">
    <w:abstractNumId w:val="1"/>
  </w:num>
  <w:num w:numId="28">
    <w:abstractNumId w:val="27"/>
  </w:num>
  <w:num w:numId="29">
    <w:abstractNumId w:val="25"/>
  </w:num>
  <w:num w:numId="30">
    <w:abstractNumId w:val="4"/>
  </w:num>
  <w:num w:numId="31">
    <w:abstractNumId w:val="10"/>
  </w:num>
  <w:num w:numId="32">
    <w:abstractNumId w:val="30"/>
  </w:num>
  <w:num w:numId="33">
    <w:abstractNumId w:val="5"/>
  </w:num>
  <w:num w:numId="34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71167"/>
    <w:rsid w:val="0004224A"/>
    <w:rsid w:val="00042AE5"/>
    <w:rsid w:val="000434E6"/>
    <w:rsid w:val="000C42D2"/>
    <w:rsid w:val="000F7F00"/>
    <w:rsid w:val="0010001D"/>
    <w:rsid w:val="00101467"/>
    <w:rsid w:val="00104026"/>
    <w:rsid w:val="00115C84"/>
    <w:rsid w:val="00116C85"/>
    <w:rsid w:val="00127F71"/>
    <w:rsid w:val="00136158"/>
    <w:rsid w:val="00180643"/>
    <w:rsid w:val="001B1B15"/>
    <w:rsid w:val="001E6464"/>
    <w:rsid w:val="002E5834"/>
    <w:rsid w:val="00345E1E"/>
    <w:rsid w:val="00350419"/>
    <w:rsid w:val="003637ED"/>
    <w:rsid w:val="003877AE"/>
    <w:rsid w:val="003C6482"/>
    <w:rsid w:val="00414D4F"/>
    <w:rsid w:val="00424D9D"/>
    <w:rsid w:val="00511CF3"/>
    <w:rsid w:val="00522D6D"/>
    <w:rsid w:val="00530B9E"/>
    <w:rsid w:val="005332E5"/>
    <w:rsid w:val="005375F0"/>
    <w:rsid w:val="005650ED"/>
    <w:rsid w:val="00576E3A"/>
    <w:rsid w:val="0058712E"/>
    <w:rsid w:val="005A6562"/>
    <w:rsid w:val="005E6439"/>
    <w:rsid w:val="00614892"/>
    <w:rsid w:val="00632FA0"/>
    <w:rsid w:val="006465A8"/>
    <w:rsid w:val="00660FB1"/>
    <w:rsid w:val="00670A56"/>
    <w:rsid w:val="00671167"/>
    <w:rsid w:val="006857DF"/>
    <w:rsid w:val="006B0AF1"/>
    <w:rsid w:val="006B7EDF"/>
    <w:rsid w:val="00700BC8"/>
    <w:rsid w:val="00703B18"/>
    <w:rsid w:val="00785DBD"/>
    <w:rsid w:val="007B7B87"/>
    <w:rsid w:val="00800BF5"/>
    <w:rsid w:val="00816AEC"/>
    <w:rsid w:val="00825BBF"/>
    <w:rsid w:val="00882C68"/>
    <w:rsid w:val="008A6955"/>
    <w:rsid w:val="008B04C8"/>
    <w:rsid w:val="008D4BBE"/>
    <w:rsid w:val="00911010"/>
    <w:rsid w:val="0093530D"/>
    <w:rsid w:val="00940935"/>
    <w:rsid w:val="0094720B"/>
    <w:rsid w:val="0095296C"/>
    <w:rsid w:val="00971CAF"/>
    <w:rsid w:val="00A179E3"/>
    <w:rsid w:val="00A3400F"/>
    <w:rsid w:val="00A52144"/>
    <w:rsid w:val="00A531D7"/>
    <w:rsid w:val="00A659B9"/>
    <w:rsid w:val="00A82CE2"/>
    <w:rsid w:val="00A85F4B"/>
    <w:rsid w:val="00AC0E17"/>
    <w:rsid w:val="00AD02E7"/>
    <w:rsid w:val="00B275F2"/>
    <w:rsid w:val="00B326F0"/>
    <w:rsid w:val="00B36AD6"/>
    <w:rsid w:val="00B4446A"/>
    <w:rsid w:val="00B62F0F"/>
    <w:rsid w:val="00B76E38"/>
    <w:rsid w:val="00BD17D3"/>
    <w:rsid w:val="00C35FE4"/>
    <w:rsid w:val="00C607D4"/>
    <w:rsid w:val="00C74C16"/>
    <w:rsid w:val="00CC090A"/>
    <w:rsid w:val="00CC5970"/>
    <w:rsid w:val="00CE2984"/>
    <w:rsid w:val="00D75F38"/>
    <w:rsid w:val="00E2478C"/>
    <w:rsid w:val="00E24AC2"/>
    <w:rsid w:val="00E656D6"/>
    <w:rsid w:val="00EB440D"/>
    <w:rsid w:val="00EE1710"/>
    <w:rsid w:val="00F26D60"/>
    <w:rsid w:val="00F913ED"/>
    <w:rsid w:val="00F959F5"/>
    <w:rsid w:val="00F9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D6"/>
  </w:style>
  <w:style w:type="paragraph" w:styleId="Heading1">
    <w:name w:val="heading 1"/>
    <w:basedOn w:val="normal0"/>
    <w:next w:val="normal0"/>
    <w:link w:val="Heading1Char"/>
    <w:rsid w:val="00703B18"/>
    <w:pPr>
      <w:keepNext/>
      <w:keepLines/>
      <w:spacing w:before="480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panchor">
    <w:name w:val="panchor"/>
    <w:basedOn w:val="DefaultParagraphFont"/>
    <w:rsid w:val="00671167"/>
  </w:style>
  <w:style w:type="paragraph" w:styleId="ListParagraph">
    <w:name w:val="List Paragraph"/>
    <w:basedOn w:val="Normal"/>
    <w:uiPriority w:val="34"/>
    <w:qFormat/>
    <w:rsid w:val="0056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6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2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02E7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cautarehighlightedcurrentelement">
    <w:name w:val="cautarehighlightedcurrentelement"/>
    <w:basedOn w:val="DefaultParagraphFont"/>
    <w:rsid w:val="00AD02E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2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02E7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st1">
    <w:name w:val="st1"/>
    <w:uiPriority w:val="99"/>
    <w:rsid w:val="00042AE5"/>
  </w:style>
  <w:style w:type="character" w:styleId="Hyperlink">
    <w:name w:val="Hyperlink"/>
    <w:basedOn w:val="DefaultParagraphFont"/>
    <w:uiPriority w:val="99"/>
    <w:semiHidden/>
    <w:unhideWhenUsed/>
    <w:rsid w:val="009110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B18"/>
    <w:rPr>
      <w:rFonts w:ascii="Calibri" w:eastAsia="Calibri" w:hAnsi="Calibri" w:cs="Calibri"/>
      <w:b/>
      <w:color w:val="000000"/>
      <w:sz w:val="36"/>
      <w:szCs w:val="36"/>
      <w:lang w:val="en-US" w:eastAsia="ro-RO"/>
    </w:rPr>
  </w:style>
  <w:style w:type="paragraph" w:customStyle="1" w:styleId="normal0">
    <w:name w:val="normal"/>
    <w:rsid w:val="00703B1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 w:eastAsia="ro-RO"/>
    </w:rPr>
  </w:style>
  <w:style w:type="character" w:customStyle="1" w:styleId="object">
    <w:name w:val="object"/>
    <w:basedOn w:val="DefaultParagraphFont"/>
    <w:rsid w:val="00350419"/>
  </w:style>
  <w:style w:type="paragraph" w:styleId="NoSpacing">
    <w:name w:val="No Spacing"/>
    <w:uiPriority w:val="1"/>
    <w:qFormat/>
    <w:rsid w:val="00424D9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55E8-3B13-4BBC-9129-AEF42C35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737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cador.anca</dc:creator>
  <cp:lastModifiedBy>cador.anca</cp:lastModifiedBy>
  <cp:revision>3</cp:revision>
  <cp:lastPrinted>2019-07-15T10:31:00Z</cp:lastPrinted>
  <dcterms:created xsi:type="dcterms:W3CDTF">2021-12-03T08:53:00Z</dcterms:created>
  <dcterms:modified xsi:type="dcterms:W3CDTF">2021-12-03T09:02:00Z</dcterms:modified>
</cp:coreProperties>
</file>