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52D" w:rsidRPr="00012A24" w:rsidRDefault="00FD3594" w:rsidP="00FD3594">
      <w:pPr>
        <w:shd w:val="clear" w:color="auto" w:fill="FFFFFF"/>
        <w:spacing w:after="0" w:line="240" w:lineRule="auto"/>
        <w:rPr>
          <w:rFonts w:ascii="Courier New" w:eastAsia="Times New Roman" w:hAnsi="Courier New" w:cs="Courier New"/>
          <w:b/>
          <w:bCs/>
          <w:lang w:eastAsia="ro-RO"/>
        </w:rPr>
      </w:pPr>
      <w:r w:rsidRPr="00012A24">
        <w:rPr>
          <w:rFonts w:ascii="Times New Roman" w:eastAsia="Times New Roman" w:hAnsi="Times New Roman" w:cs="Times New Roman"/>
          <w:b/>
          <w:bCs/>
          <w:sz w:val="36"/>
          <w:szCs w:val="36"/>
          <w:lang w:eastAsia="ro-RO"/>
        </w:rPr>
        <w:t>﻿</w:t>
      </w:r>
      <w:r w:rsidRPr="00012A24">
        <w:rPr>
          <w:rFonts w:ascii="Courier New" w:eastAsia="Times New Roman" w:hAnsi="Courier New" w:cs="Courier New"/>
          <w:b/>
          <w:bCs/>
          <w:lang w:eastAsia="ro-RO"/>
        </w:rPr>
        <w:t> </w:t>
      </w:r>
      <w:r w:rsidR="000F152D" w:rsidRPr="00012A24">
        <w:rPr>
          <w:rFonts w:ascii="Courier New" w:eastAsia="Times New Roman" w:hAnsi="Courier New" w:cs="Courier New"/>
          <w:b/>
          <w:bCs/>
          <w:lang w:eastAsia="ro-RO"/>
        </w:rPr>
        <w:t xml:space="preserve"> </w:t>
      </w:r>
    </w:p>
    <w:p w:rsidR="000F152D" w:rsidRPr="00012A24" w:rsidRDefault="000F152D" w:rsidP="00FD3594">
      <w:pPr>
        <w:shd w:val="clear" w:color="auto" w:fill="FFFFFF"/>
        <w:spacing w:after="0" w:line="240" w:lineRule="auto"/>
        <w:rPr>
          <w:rFonts w:ascii="Courier New" w:eastAsia="Times New Roman" w:hAnsi="Courier New" w:cs="Courier New"/>
          <w:b/>
          <w:bCs/>
          <w:lang w:eastAsia="ro-RO"/>
        </w:rPr>
      </w:pPr>
    </w:p>
    <w:p w:rsidR="00FD3594" w:rsidRPr="00012A24" w:rsidRDefault="000F152D" w:rsidP="00FD3594">
      <w:pPr>
        <w:shd w:val="clear" w:color="auto" w:fill="FFFFFF"/>
        <w:spacing w:after="0" w:line="240" w:lineRule="auto"/>
        <w:rPr>
          <w:rFonts w:ascii="Times New Roman" w:eastAsia="Times New Roman" w:hAnsi="Times New Roman" w:cs="Times New Roman"/>
          <w:sz w:val="27"/>
          <w:szCs w:val="27"/>
          <w:lang w:eastAsia="ro-RO"/>
        </w:rPr>
      </w:pPr>
      <w:r w:rsidRPr="00012A24">
        <w:rPr>
          <w:rFonts w:ascii="Courier New" w:eastAsia="Times New Roman" w:hAnsi="Courier New" w:cs="Courier New"/>
          <w:b/>
          <w:bCs/>
          <w:lang w:eastAsia="ro-RO"/>
        </w:rPr>
        <w:t xml:space="preserve">Ordin nr. 77 </w:t>
      </w:r>
      <w:r w:rsidR="00FD3594" w:rsidRPr="00012A24">
        <w:rPr>
          <w:rFonts w:ascii="Courier New" w:eastAsia="Times New Roman" w:hAnsi="Courier New" w:cs="Courier New"/>
          <w:b/>
          <w:bCs/>
          <w:lang w:eastAsia="ro-RO"/>
        </w:rPr>
        <w:t>din 14 martie 2007</w:t>
      </w:r>
      <w:r w:rsidR="00FD3594" w:rsidRPr="00012A24">
        <w:rPr>
          <w:rFonts w:ascii="Times New Roman" w:eastAsia="Times New Roman" w:hAnsi="Times New Roman" w:cs="Times New Roman"/>
          <w:b/>
          <w:bCs/>
          <w:sz w:val="36"/>
          <w:szCs w:val="36"/>
          <w:lang w:eastAsia="ro-RO"/>
        </w:rPr>
        <w:br/>
      </w:r>
      <w:r w:rsidR="00FD3594" w:rsidRPr="00012A24">
        <w:rPr>
          <w:rFonts w:ascii="Courier New" w:eastAsia="Times New Roman" w:hAnsi="Courier New" w:cs="Courier New"/>
          <w:b/>
          <w:bCs/>
          <w:lang w:eastAsia="ro-RO"/>
        </w:rPr>
        <w:t>privind aprobarea Normelor metodologice de stabilire, ajustare sau modificare a valorii activităţilor serviciului de iluminat public</w:t>
      </w:r>
      <w:r w:rsidR="00FD3594" w:rsidRPr="00012A24">
        <w:rPr>
          <w:rFonts w:ascii="Times New Roman" w:eastAsia="Times New Roman" w:hAnsi="Times New Roman" w:cs="Times New Roman"/>
          <w:b/>
          <w:bCs/>
          <w:sz w:val="36"/>
          <w:szCs w:val="36"/>
          <w:lang w:eastAsia="ro-RO"/>
        </w:rPr>
        <w:br/>
      </w:r>
      <w:r w:rsidR="00FD3594" w:rsidRPr="00012A24">
        <w:rPr>
          <w:rFonts w:ascii="Times New Roman" w:eastAsia="Times New Roman" w:hAnsi="Times New Roman" w:cs="Times New Roman"/>
          <w:b/>
          <w:bCs/>
          <w:sz w:val="36"/>
          <w:szCs w:val="36"/>
          <w:lang w:eastAsia="ro-RO"/>
        </w:rPr>
        <w:br/>
      </w:r>
      <w:r w:rsidR="00FD3594" w:rsidRPr="00012A24">
        <w:rPr>
          <w:rFonts w:ascii="Courier New" w:eastAsia="Times New Roman" w:hAnsi="Courier New" w:cs="Courier New"/>
          <w:b/>
          <w:bCs/>
          <w:lang w:eastAsia="ro-RO"/>
        </w:rPr>
        <w:t>EMITENT: AUTORITATEA NAŢIONALĂ DE REGLEMENTARE PENTRU SERVICIILE PUBLICE DE GOSPODĂRIE COMUNALĂ </w:t>
      </w:r>
      <w:r w:rsidR="00FD3594" w:rsidRPr="00012A24">
        <w:rPr>
          <w:rFonts w:ascii="Times New Roman" w:eastAsia="Times New Roman" w:hAnsi="Times New Roman" w:cs="Times New Roman"/>
          <w:b/>
          <w:bCs/>
          <w:sz w:val="36"/>
          <w:szCs w:val="36"/>
          <w:lang w:eastAsia="ro-RO"/>
        </w:rPr>
        <w:br/>
      </w:r>
      <w:r w:rsidR="00FD3594" w:rsidRPr="00012A24">
        <w:rPr>
          <w:rFonts w:ascii="Courier New" w:eastAsia="Times New Roman" w:hAnsi="Courier New" w:cs="Courier New"/>
          <w:b/>
          <w:bCs/>
          <w:lang w:eastAsia="ro-RO"/>
        </w:rPr>
        <w:t>PUBLICAT ÎN: MONITORUL OFICIAL nr. 201 din 26 martie 2007</w:t>
      </w:r>
      <w:r w:rsidR="00FD3594" w:rsidRPr="00012A24">
        <w:rPr>
          <w:rFonts w:ascii="Times New Roman" w:eastAsia="Times New Roman" w:hAnsi="Times New Roman" w:cs="Times New Roman"/>
          <w:b/>
          <w:bCs/>
          <w:sz w:val="36"/>
          <w:szCs w:val="36"/>
          <w:lang w:eastAsia="ro-RO"/>
        </w:rPr>
        <w:t> </w:t>
      </w:r>
    </w:p>
    <w:p w:rsidR="00FD3594" w:rsidRPr="00012A24" w:rsidRDefault="00FD3594" w:rsidP="000F152D">
      <w:pPr>
        <w:shd w:val="clear" w:color="auto" w:fill="FFFFFF"/>
        <w:spacing w:after="0" w:line="240" w:lineRule="auto"/>
        <w:rPr>
          <w:rFonts w:ascii="Times New Roman" w:eastAsia="Times New Roman" w:hAnsi="Times New Roman" w:cs="Times New Roman"/>
          <w:sz w:val="27"/>
          <w:szCs w:val="27"/>
          <w:lang w:eastAsia="ro-RO"/>
        </w:rPr>
      </w:pPr>
    </w:p>
    <w:p w:rsidR="00FD3594" w:rsidRPr="00012A24" w:rsidRDefault="00FD3594" w:rsidP="00FD3594">
      <w:pPr>
        <w:shd w:val="clear" w:color="auto" w:fill="FFFFFF"/>
        <w:spacing w:after="0" w:line="240" w:lineRule="auto"/>
        <w:rPr>
          <w:rFonts w:ascii="Times New Roman" w:eastAsia="Times New Roman" w:hAnsi="Times New Roman" w:cs="Times New Roman"/>
          <w:sz w:val="27"/>
          <w:szCs w:val="27"/>
          <w:lang w:eastAsia="ro-RO"/>
        </w:rPr>
      </w:pPr>
      <w:r w:rsidRPr="00012A24">
        <w:rPr>
          <w:rFonts w:ascii="Times New Roman" w:eastAsia="Times New Roman" w:hAnsi="Times New Roman" w:cs="Times New Roman"/>
          <w:sz w:val="27"/>
          <w:szCs w:val="27"/>
          <w:lang w:eastAsia="ro-RO"/>
        </w:rPr>
        <w:t>  </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Având în vedere prevederile art. 21 alin. (2) lit. a) din </w:t>
      </w:r>
      <w:bookmarkStart w:id="0" w:name="REF0"/>
      <w:bookmarkEnd w:id="0"/>
      <w:r w:rsidRPr="00012A24">
        <w:rPr>
          <w:rFonts w:ascii="Courier New" w:eastAsia="Times New Roman" w:hAnsi="Courier New" w:cs="Courier New"/>
          <w:lang w:eastAsia="ro-RO"/>
        </w:rPr>
        <w:t>Legea serviciilor comunitare de utilităţi publice nr. 51/2006, ale art. 15 alin. (1) şi ale </w:t>
      </w:r>
      <w:bookmarkStart w:id="1" w:name="REF1"/>
      <w:bookmarkEnd w:id="1"/>
      <w:r w:rsidRPr="00012A24">
        <w:rPr>
          <w:rFonts w:ascii="Courier New" w:eastAsia="Times New Roman" w:hAnsi="Courier New" w:cs="Courier New"/>
          <w:lang w:eastAsia="ro-RO"/>
        </w:rPr>
        <w:t>art. 17 alin. (1) lit. a) din Legea serviciului de iluminat public nr. 230/2006,</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în temeiul </w:t>
      </w:r>
      <w:bookmarkStart w:id="2" w:name="REF2"/>
      <w:bookmarkEnd w:id="2"/>
      <w:r w:rsidRPr="00012A24">
        <w:rPr>
          <w:rFonts w:ascii="Courier New" w:eastAsia="Times New Roman" w:hAnsi="Courier New" w:cs="Courier New"/>
          <w:lang w:eastAsia="ro-RO"/>
        </w:rPr>
        <w:t>art. 10 alin. (5) şi (6) din Hotărârea Guvernului nr. 373/2002 privind organizarea şi funcţionarea Autorităţii Naţionale de Reglementare pentru Serviciile Publice de Gospodărie Comunală - A.N.R.S.C., cu modificările şi completările ulterioare,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preşedintele Autorităţii Naţionale de Reglementare pentru Serviciile Publice de Gospodărie Comunală emite următorul ordin:</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3" w:name="A1"/>
      <w:r w:rsidRPr="00012A24">
        <w:rPr>
          <w:rFonts w:ascii="Courier New" w:eastAsia="Times New Roman" w:hAnsi="Courier New" w:cs="Courier New"/>
          <w:lang w:eastAsia="ro-RO"/>
        </w:rPr>
        <w:t>ART. 1</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Se aprobă Normele metodologice de stabilire, ajustare sau modificare a valorii activităţilor serviciului de iluminat public, prevăzute în anexa care face parte integrantă din prezentul ordin.</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4" w:name="A2"/>
      <w:r w:rsidRPr="00012A24">
        <w:rPr>
          <w:rFonts w:ascii="Courier New" w:eastAsia="Times New Roman" w:hAnsi="Courier New" w:cs="Courier New"/>
          <w:lang w:eastAsia="ro-RO"/>
        </w:rPr>
        <w:t>ART. 2</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Departamentele de specialitate din cadrul Autorităţii Naţionale de Reglementare pentru Serviciile Publice de Gospodărie Comunală vor urmări respectarea prevederilor prezentului ordin.</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5" w:name="A3"/>
      <w:r w:rsidRPr="00012A24">
        <w:rPr>
          <w:rFonts w:ascii="Courier New" w:eastAsia="Times New Roman" w:hAnsi="Courier New" w:cs="Courier New"/>
          <w:lang w:eastAsia="ro-RO"/>
        </w:rPr>
        <w:t>ART. 3</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Prezentul ordin va fi publicat în Monitorul Oficial al României, Partea I.</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Preşedintele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Autorităţii</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Naţionale de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Reglementare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pentru Serviciile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Publice de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Gospodărie Comunală,</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proofErr w:type="spellStart"/>
      <w:r w:rsidRPr="00012A24">
        <w:rPr>
          <w:rFonts w:ascii="Courier New" w:eastAsia="Times New Roman" w:hAnsi="Courier New" w:cs="Courier New"/>
          <w:lang w:eastAsia="ro-RO"/>
        </w:rPr>
        <w:t>Jeanina</w:t>
      </w:r>
      <w:proofErr w:type="spellEnd"/>
      <w:r w:rsidRPr="00012A24">
        <w:rPr>
          <w:rFonts w:ascii="Courier New" w:eastAsia="Times New Roman" w:hAnsi="Courier New" w:cs="Courier New"/>
          <w:lang w:eastAsia="ro-RO"/>
        </w:rPr>
        <w:t xml:space="preserve"> Preda</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Bucureşti, 14 martie 2007.</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Nr. 77.</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ANEXĂ</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NORME METODOLOGICE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de stabilire, ajustare sau modificare a valorii</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activităţilor serviciului de iluminat public</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6" w:name="CI"/>
      <w:r w:rsidRPr="00012A24">
        <w:rPr>
          <w:rFonts w:ascii="Courier New" w:eastAsia="Times New Roman" w:hAnsi="Courier New" w:cs="Courier New"/>
          <w:lang w:eastAsia="ro-RO"/>
        </w:rPr>
        <w:t>CAP. I</w:t>
      </w:r>
      <w:bookmarkEnd w:id="6"/>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Scop</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ART. 1</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Prezentele norme metodologice sunt elaborate în conformitate cu prevederile art. 21 alin. (2) lit. a) din </w:t>
      </w:r>
      <w:bookmarkStart w:id="7" w:name="REF3"/>
      <w:bookmarkEnd w:id="7"/>
      <w:r w:rsidRPr="00012A24">
        <w:rPr>
          <w:rFonts w:ascii="Courier New" w:eastAsia="Times New Roman" w:hAnsi="Courier New" w:cs="Courier New"/>
          <w:lang w:eastAsia="ro-RO"/>
        </w:rPr>
        <w:t>Legea serviciilor comunitare de utilităţi publice nr. 51/2006, ale art. 15 alin. (1) şi ale </w:t>
      </w:r>
      <w:bookmarkStart w:id="8" w:name="REF4"/>
      <w:bookmarkEnd w:id="8"/>
      <w:r w:rsidRPr="00012A24">
        <w:rPr>
          <w:rFonts w:ascii="Courier New" w:eastAsia="Times New Roman" w:hAnsi="Courier New" w:cs="Courier New"/>
          <w:lang w:eastAsia="ro-RO"/>
        </w:rPr>
        <w:t>art. 17 alin. (1) din Legea serviciului de iluminat public nr. 230/2006.</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lastRenderedPageBreak/>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ART. 2</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(1) Prezentele norme metodologice stabilesc modul de calcul al valorii activităţilor specifice pentru serviciul de iluminat public.</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(2) Valorile activităţilor specifice pentru serviciile de iluminat public trebuie să asigure atât viabilitatea economică a operatorilor prestatori ai serviciilor de iluminat public, cât şi interesele utilizatorilor.</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9" w:name="CII"/>
      <w:r w:rsidRPr="00012A24">
        <w:rPr>
          <w:rFonts w:ascii="Courier New" w:eastAsia="Times New Roman" w:hAnsi="Courier New" w:cs="Courier New"/>
          <w:lang w:eastAsia="ro-RO"/>
        </w:rPr>
        <w:t>CAP. II</w:t>
      </w:r>
      <w:bookmarkEnd w:id="9"/>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Domeniul de aplicare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ART. 3</w:t>
      </w:r>
      <w:bookmarkEnd w:id="5"/>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(1) Prezentele norme metodologice reglementează modul de determinare a valorii activităţilor specifice serviciului de iluminat public.</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(2) Serviciul de iluminat public cuprinde următoarele activităţi:</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a) iluminatul stradal rutier;</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b) iluminatul stradal pietonal;</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c) iluminatul arhitectural;</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d) iluminatul ornamental;</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e) iluminatul ornamental-festiv al comunelor, oraşelor şi municipiilor.</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(3) Activităţile specifice serviciului de iluminat public cuprind două componente: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a) întreţinere;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b) modernizare.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10" w:name="CIII"/>
      <w:r w:rsidRPr="00012A24">
        <w:rPr>
          <w:rFonts w:ascii="Courier New" w:eastAsia="Times New Roman" w:hAnsi="Courier New" w:cs="Courier New"/>
          <w:lang w:eastAsia="ro-RO"/>
        </w:rPr>
        <w:t>CAP. III</w:t>
      </w:r>
      <w:bookmarkEnd w:id="10"/>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Definiţii şi abrevieri</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11" w:name="A4"/>
      <w:r w:rsidRPr="00012A24">
        <w:rPr>
          <w:rFonts w:ascii="Courier New" w:eastAsia="Times New Roman" w:hAnsi="Courier New" w:cs="Courier New"/>
          <w:lang w:eastAsia="ro-RO"/>
        </w:rPr>
        <w:t>ART. 4</w:t>
      </w:r>
      <w:bookmarkEnd w:id="11"/>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Termenii folosiţi în prezentele norme metodologice au următoarele semnificaţii:</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a) autoritate de reglementare competentă - Autoritatea Naţională de Reglementare pentru Serviciile Comunitare de Utilităţi Publice, denumită în continuare A.N.R.S.C.;</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b) aprobarea valorii activităţilor specifice serviciului de iluminat public pentru o anumită perioadă - activitatea de analiză şi verificare a elementelor de cheltuieli, desfăşurată de autoritatea administraţiei publice locale implicate, cu respectarea normelor metodologice de stabilire, ajustare sau modificare a valorii aferente activităţilor serviciului de iluminat public, concretizată prin emiterea unor hotărâri;</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c) ajustarea valorii activităţilor specifice serviciului de iluminat public - operaţiunea de analiză a nivelului existent al valorii pentru activităţile specifice serviciului de iluminat public şi a structurii elementelor de cheltuieli, potrivit normelor metodologice elaborate şi aprobate de autoritatea de reglementare competentă, prin care se asigură corelarea nivelului valorii activităţilor serviciului de iluminat public stabilit anterior cu evoluţia generală a preţurilor şi tarifelor din economie;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d) iluminat arhitectural - iluminatul destinat punerii în evidenţă a unor monumente de artă sau istorice ori a unor obiective de importanţă publică sau culturală pentru comunitatea locală;</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e) iluminat ornamental - iluminatul zonelor destinate parcurilor, spaţiilor de agrement, pieţelor, târgurilor şi altora asemenea;</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f) iluminat ornamental-festiv - iluminatul temporar utilizat cu ocazia sărbătorilor şi altor evenimente festive;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g) iluminat stradal pietonal - iluminatul căilor de acces pietonal;</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lastRenderedPageBreak/>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h) iluminat stradal rutier - iluminatul căilor de circulaţie rutieră;</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xml:space="preserve">i) întreţinere - ansamblul activităţilor de menţinere în funcţiune a sistemului de iluminat public la parametrii </w:t>
      </w:r>
      <w:proofErr w:type="spellStart"/>
      <w:r w:rsidRPr="00012A24">
        <w:rPr>
          <w:rFonts w:ascii="Courier New" w:eastAsia="Times New Roman" w:hAnsi="Courier New" w:cs="Courier New"/>
          <w:lang w:eastAsia="ro-RO"/>
        </w:rPr>
        <w:t>luminotehnici</w:t>
      </w:r>
      <w:proofErr w:type="spellEnd"/>
      <w:r w:rsidRPr="00012A24">
        <w:rPr>
          <w:rFonts w:ascii="Courier New" w:eastAsia="Times New Roman" w:hAnsi="Courier New" w:cs="Courier New"/>
          <w:lang w:eastAsia="ro-RO"/>
        </w:rPr>
        <w:t xml:space="preserve"> normaţi, care se realizează atât cu înlocuirea de componente, cât şi fără înlocuirea acestora;</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j) licenţă - actul tehnic şi juridic emis de A.N.R.S.C., prin care se recunosc calitatea de operator al serviciului de iluminat public, precum şi capacitatea şi dreptul de a presta acest serviciu;</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k) modernizare - activităţile de pregătire, finanţare şi realizare a investiţiilor în sistemul de iluminat public, în vederea adaptării la cerinţele şi exigenţele stabilite în normele legale în vigoare şi în programele de dezvoltare;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l) modificarea valorii activităţilor specifice serviciului de iluminat public - operaţiunea de analiză a nivelului existent al valorii pentru activităţile specifice serviciului de iluminat public şi a structurii acestora, potrivit normelor metodologice elaborate şi aprobate de autoritatea de reglementare competentă, aplicabilă în situaţiile în care intervin schimbări majore în structura costurilor care conduc la recalcularea valorii existente;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m) sistem de iluminat public - ansamblul format din puncte de aprindere, cutii de distribuţie, cutii de trecere, linii electrice de joasă tensiune subterane sau aeriene, fundaţii, elemente de susţinere a liniilor, instalaţii de legare la pământ, console, corpuri de iluminat, accesorii, conductoare, izolatoare, cleme, armături, echipamente de comandă, automatizare şi măsurare utilizate pentru iluminatul public;</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n) stabilirea valorii activităţilor specifice serviciului de iluminat public - operaţiunea de analiză a nivelului valorii pentru activităţile specifice serviciului de iluminat public şi a structurii acestora, conform normelor metodologice elaborate şi aprobate de autoritatea de reglementare competentă, pentru operatorii nou-intraţi pe piaţă sau pentru operatorii care încheie contracte de delegare a gestiunii cu autorităţile administraţiei publice locale.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12" w:name="CIV"/>
      <w:r w:rsidRPr="00012A24">
        <w:rPr>
          <w:rFonts w:ascii="Courier New" w:eastAsia="Times New Roman" w:hAnsi="Courier New" w:cs="Courier New"/>
          <w:lang w:eastAsia="ro-RO"/>
        </w:rPr>
        <w:t>CAP. IV</w:t>
      </w:r>
      <w:bookmarkEnd w:id="12"/>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Acte normative de referinţă</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13" w:name="A5"/>
      <w:r w:rsidRPr="00012A24">
        <w:rPr>
          <w:rFonts w:ascii="Courier New" w:eastAsia="Times New Roman" w:hAnsi="Courier New" w:cs="Courier New"/>
          <w:lang w:eastAsia="ro-RO"/>
        </w:rPr>
        <w:t>ART. 5</w:t>
      </w:r>
      <w:bookmarkEnd w:id="13"/>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Prezentele norme metodologice au la bază următoarele acte normative de referinţă:</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a) </w:t>
      </w:r>
      <w:bookmarkStart w:id="14" w:name="REF5"/>
      <w:bookmarkEnd w:id="14"/>
      <w:r w:rsidRPr="00012A24">
        <w:rPr>
          <w:rFonts w:ascii="Courier New" w:eastAsia="Times New Roman" w:hAnsi="Courier New" w:cs="Courier New"/>
          <w:lang w:eastAsia="ro-RO"/>
        </w:rPr>
        <w:t>Legea serviciilor comunitare de utilităţi publice nr. 51/2006;</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b) </w:t>
      </w:r>
      <w:bookmarkStart w:id="15" w:name="REF6"/>
      <w:bookmarkEnd w:id="15"/>
      <w:r w:rsidRPr="00012A24">
        <w:rPr>
          <w:rFonts w:ascii="Courier New" w:eastAsia="Times New Roman" w:hAnsi="Courier New" w:cs="Courier New"/>
          <w:lang w:eastAsia="ro-RO"/>
        </w:rPr>
        <w:t>Legea serviciului de iluminat public nr. 230/2006;</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c) </w:t>
      </w:r>
      <w:bookmarkStart w:id="16" w:name="REF7"/>
      <w:bookmarkEnd w:id="16"/>
      <w:r w:rsidRPr="00012A24">
        <w:rPr>
          <w:rFonts w:ascii="Courier New" w:eastAsia="Times New Roman" w:hAnsi="Courier New" w:cs="Courier New"/>
          <w:lang w:eastAsia="ro-RO"/>
        </w:rPr>
        <w:t>Legea concurenţei nr. 21/1996, republicată.</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17" w:name="CV"/>
      <w:r w:rsidRPr="00012A24">
        <w:rPr>
          <w:rFonts w:ascii="Courier New" w:eastAsia="Times New Roman" w:hAnsi="Courier New" w:cs="Courier New"/>
          <w:lang w:eastAsia="ro-RO"/>
        </w:rPr>
        <w:t>CAP. V</w:t>
      </w:r>
      <w:bookmarkEnd w:id="17"/>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Dispoziţii generale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18" w:name="A6"/>
      <w:r w:rsidRPr="00012A24">
        <w:rPr>
          <w:rFonts w:ascii="Courier New" w:eastAsia="Times New Roman" w:hAnsi="Courier New" w:cs="Courier New"/>
          <w:lang w:eastAsia="ro-RO"/>
        </w:rPr>
        <w:t>ART. 6</w:t>
      </w:r>
      <w:bookmarkEnd w:id="18"/>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Valorile activităţilor serviciului de iluminat public se fundamentează pe baza cheltuielilor de producţie şi exploatare, a cheltuielilor de întreţinere şi reparaţii, a amortismentelor aferente capitalului imobilizat în active corporale şi necorporale, a costurilor pentru protecţia mediului, a costurilor financiare asociate creditelor contractate, a costurilor derivând din contractul de delegare a gestiunii, precum şi a unei cote de profit.</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19" w:name="A7"/>
      <w:r w:rsidRPr="00012A24">
        <w:rPr>
          <w:rFonts w:ascii="Courier New" w:eastAsia="Times New Roman" w:hAnsi="Courier New" w:cs="Courier New"/>
          <w:lang w:eastAsia="ro-RO"/>
        </w:rPr>
        <w:t>ART. 7</w:t>
      </w:r>
      <w:bookmarkEnd w:id="19"/>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xml:space="preserve">Valorile activităţilor serviciului de iluminat public nu cuprind cheltuielile cu energia electrică consumată pentru iluminat, care se </w:t>
      </w:r>
      <w:r w:rsidRPr="00012A24">
        <w:rPr>
          <w:rFonts w:ascii="Courier New" w:eastAsia="Times New Roman" w:hAnsi="Courier New" w:cs="Courier New"/>
          <w:lang w:eastAsia="ro-RO"/>
        </w:rPr>
        <w:lastRenderedPageBreak/>
        <w:t>facturează separat.</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20" w:name="A8"/>
      <w:r w:rsidRPr="00012A24">
        <w:rPr>
          <w:rFonts w:ascii="Courier New" w:eastAsia="Times New Roman" w:hAnsi="Courier New" w:cs="Courier New"/>
          <w:lang w:eastAsia="ro-RO"/>
        </w:rPr>
        <w:t>ART. 8</w:t>
      </w:r>
      <w:bookmarkEnd w:id="20"/>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Autorităţile administraţiei publice locale au competenţă exclusivă în aprobarea valorii activităţilor de iluminat public.</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21" w:name="A9"/>
      <w:r w:rsidRPr="00012A24">
        <w:rPr>
          <w:rFonts w:ascii="Courier New" w:eastAsia="Times New Roman" w:hAnsi="Courier New" w:cs="Courier New"/>
          <w:lang w:eastAsia="ro-RO"/>
        </w:rPr>
        <w:t>ART. 9</w:t>
      </w:r>
      <w:bookmarkEnd w:id="21"/>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(1) Valorile activităţilor specifice serviciului de iluminat public se stabilesc, se ajustează sau se modifică pe baza solicitărilor operatorilor, prestatori ai serviciului de iluminat public, în conformitate cu prevederile normelor metodologice elaborate şi aprobate de autoritatea de reglementare competentă.</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(2) Operatorul de servicii care solicită stabilirea, ajustarea sau modificarea valorii activităţilor specifice serviciului de iluminat public transmite la autoritatea administraţiei publice locale următoarele: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a) cererea de stabilire, ajustare sau modificare, care conţine nivelul propus al valorii activităţilor serviciului de iluminat public, nivelul în vigoare în cazul ajustării sau modificării şi justificarea propunerii de stabilire, ajustare sau modificare; valorile activităţilor specifice serviciului de iluminat public propuse în cererea înaintată la autoritatea administraţiei publice locale vor fi determinate exclusiv cota de TVA;</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b) fişa de fundamentare a valorii activităţilor serviciului de iluminat public, pe elemente de cheltuieli, conform anexelor nr. 1 şi 2;</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c) memoriul tehnico-economic prin care se justifică oportunitatea stabilirii, ajustării sau modificării valorii aferente activităţilor serviciului de iluminat public;</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d) alte date şi informaţii necesare fundamentării valorilor propuse.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22" w:name="CVI"/>
      <w:r w:rsidRPr="00012A24">
        <w:rPr>
          <w:rFonts w:ascii="Courier New" w:eastAsia="Times New Roman" w:hAnsi="Courier New" w:cs="Courier New"/>
          <w:lang w:eastAsia="ro-RO"/>
        </w:rPr>
        <w:t>CAP. VI</w:t>
      </w:r>
      <w:bookmarkEnd w:id="22"/>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Stabilirea valorii activităţilor specifice serviciului de iluminat public</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23" w:name="A10"/>
      <w:r w:rsidRPr="00012A24">
        <w:rPr>
          <w:rFonts w:ascii="Courier New" w:eastAsia="Times New Roman" w:hAnsi="Courier New" w:cs="Courier New"/>
          <w:lang w:eastAsia="ro-RO"/>
        </w:rPr>
        <w:t>ART. 10</w:t>
      </w:r>
      <w:bookmarkEnd w:id="23"/>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(1) Valoarea activităţilor specifice serviciului de iluminat public se stabileşte pentru operatorii nou-intraţi pe piaţa acestor servicii, precum şi pentru cei care încheie contracte de delegare a gestiunii cu autorităţile administraţiei publice locale.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(2) Valoarea activităţilor specifice serviciului de iluminat public se determină de către operatori, luând în calcul numai cheltuielile care sunt specifice activităţii respective.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(3) Fundamentarea costurilor fiecărei activităţi în parte se face pe baza cheltuielilor materiale, cheltuielilor salariale şi a cheltuielilor operaţionale.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(4) În cazul stabilirii valorii activităţilor specifice serviciului de iluminat public, structura cheltuielilor şi a veniturilor este prezentată în anexa nr. 1.</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24" w:name="A11"/>
      <w:r w:rsidRPr="00012A24">
        <w:rPr>
          <w:rFonts w:ascii="Courier New" w:eastAsia="Times New Roman" w:hAnsi="Courier New" w:cs="Courier New"/>
          <w:lang w:eastAsia="ro-RO"/>
        </w:rPr>
        <w:t>ART. 11</w:t>
      </w:r>
      <w:bookmarkEnd w:id="24"/>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Stabilirea valorii pentru activităţile specifice serviciului de iluminat public se face potrivit formulei:</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V = C(t) + p, unde: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V - valoarea stabilită a activităţilor specifice serviciului de iluminat public pentru o anumită perioadă;</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C(t) - cheltuieli totale;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p - profit.</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25" w:name="CVII"/>
      <w:r w:rsidRPr="00012A24">
        <w:rPr>
          <w:rFonts w:ascii="Courier New" w:eastAsia="Times New Roman" w:hAnsi="Courier New" w:cs="Courier New"/>
          <w:lang w:eastAsia="ro-RO"/>
        </w:rPr>
        <w:t>CAP. VII</w:t>
      </w:r>
      <w:bookmarkEnd w:id="25"/>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xml:space="preserve">Ajustarea valorii activităţilor specifice serviciului de iluminat </w:t>
      </w:r>
      <w:r w:rsidRPr="00012A24">
        <w:rPr>
          <w:rFonts w:ascii="Courier New" w:eastAsia="Times New Roman" w:hAnsi="Courier New" w:cs="Courier New"/>
          <w:lang w:eastAsia="ro-RO"/>
        </w:rPr>
        <w:lastRenderedPageBreak/>
        <w:t>public</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26" w:name="A12"/>
      <w:r w:rsidRPr="00012A24">
        <w:rPr>
          <w:rFonts w:ascii="Courier New" w:eastAsia="Times New Roman" w:hAnsi="Courier New" w:cs="Courier New"/>
          <w:lang w:eastAsia="ro-RO"/>
        </w:rPr>
        <w:t>ART. 12</w:t>
      </w:r>
      <w:bookmarkEnd w:id="26"/>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(1) Valoarea activităţilor specifice serviciului de iluminat public se poate ajusta, la solicitarea operatorilor, în raport cu evoluţia indicelui preţurilor de consum sau a altui parametru de ajustare, prevăzut în contractul de delegare a gestiunii, în baza cererilor de ajustare, însoţite de documentaţia de fundamentare.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(2) Nivelul rezultat al valorii aferente activităţilor specifice serviciului de iluminat public nu poate depăşi nivelul actual ajustat cu indicele de creştere al parametrului de ajustare.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(3) Nivelul valorii activităţilor specifice serviciului de iluminat public se determină avându-se în vedere influenţele reale primite în costuri, ca urmare a evoluţiei preţurilor şi tarifelor din economie.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(4) Fundamentarea costurilor fiecărei activităţi în parte se face pe baza cheltuielilor materiale, cheltuielilor salariale şi a cheltuielilor operaţionale.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(5) În cazul ajustării valorii activităţilor specifice serviciului de iluminat public, structura cheltuielilor şi a veniturilor este prezentată în anexa nr. 2.</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27" w:name="A13"/>
      <w:r w:rsidRPr="00012A24">
        <w:rPr>
          <w:rFonts w:ascii="Courier New" w:eastAsia="Times New Roman" w:hAnsi="Courier New" w:cs="Courier New"/>
          <w:lang w:eastAsia="ro-RO"/>
        </w:rPr>
        <w:t>ART. 13</w:t>
      </w:r>
      <w:bookmarkEnd w:id="27"/>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Ajustarea valorii pentru activităţile specifice serviciului de iluminat public se face potrivit formulei:</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V(1) = V(0) + delta(V), unde: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V(1) - valoarea ajustată a activităţilor specifice serviciului de iluminat public;</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V(0) - valoarea actuală a activităţilor specifice serviciului de iluminat public;</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delta(V) - creşterea valorii aferente activităţilor specifice serviciului de iluminat public;</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delta(V) = [delta(</w:t>
      </w:r>
      <w:proofErr w:type="spellStart"/>
      <w:r w:rsidRPr="00012A24">
        <w:rPr>
          <w:rFonts w:ascii="Courier New" w:eastAsia="Times New Roman" w:hAnsi="Courier New" w:cs="Courier New"/>
          <w:lang w:eastAsia="ro-RO"/>
        </w:rPr>
        <w:t>ct</w:t>
      </w:r>
      <w:proofErr w:type="spellEnd"/>
      <w:r w:rsidRPr="00012A24">
        <w:rPr>
          <w:rFonts w:ascii="Courier New" w:eastAsia="Times New Roman" w:hAnsi="Courier New" w:cs="Courier New"/>
          <w:lang w:eastAsia="ro-RO"/>
        </w:rPr>
        <w:t>) + delta(</w:t>
      </w:r>
      <w:proofErr w:type="spellStart"/>
      <w:r w:rsidRPr="00012A24">
        <w:rPr>
          <w:rFonts w:ascii="Courier New" w:eastAsia="Times New Roman" w:hAnsi="Courier New" w:cs="Courier New"/>
          <w:lang w:eastAsia="ro-RO"/>
        </w:rPr>
        <w:t>ct</w:t>
      </w:r>
      <w:proofErr w:type="spellEnd"/>
      <w:r w:rsidRPr="00012A24">
        <w:rPr>
          <w:rFonts w:ascii="Courier New" w:eastAsia="Times New Roman" w:hAnsi="Courier New" w:cs="Courier New"/>
          <w:lang w:eastAsia="ro-RO"/>
        </w:rPr>
        <w:t xml:space="preserve">) x </w:t>
      </w:r>
      <w:proofErr w:type="spellStart"/>
      <w:r w:rsidRPr="00012A24">
        <w:rPr>
          <w:rFonts w:ascii="Courier New" w:eastAsia="Times New Roman" w:hAnsi="Courier New" w:cs="Courier New"/>
          <w:lang w:eastAsia="ro-RO"/>
        </w:rPr>
        <w:t>r%</w:t>
      </w:r>
      <w:proofErr w:type="spellEnd"/>
      <w:r w:rsidRPr="00012A24">
        <w:rPr>
          <w:rFonts w:ascii="Courier New" w:eastAsia="Times New Roman" w:hAnsi="Courier New" w:cs="Courier New"/>
          <w:lang w:eastAsia="ro-RO"/>
        </w:rPr>
        <w:t>], unde: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delta(</w:t>
      </w:r>
      <w:proofErr w:type="spellStart"/>
      <w:r w:rsidRPr="00012A24">
        <w:rPr>
          <w:rFonts w:ascii="Courier New" w:eastAsia="Times New Roman" w:hAnsi="Courier New" w:cs="Courier New"/>
          <w:lang w:eastAsia="ro-RO"/>
        </w:rPr>
        <w:t>ct</w:t>
      </w:r>
      <w:proofErr w:type="spellEnd"/>
      <w:r w:rsidRPr="00012A24">
        <w:rPr>
          <w:rFonts w:ascii="Courier New" w:eastAsia="Times New Roman" w:hAnsi="Courier New" w:cs="Courier New"/>
          <w:lang w:eastAsia="ro-RO"/>
        </w:rPr>
        <w:t>) - creşterea cheltuielilor totale ca urmare a ajustărilor intervenite în costuri;</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proofErr w:type="spellStart"/>
      <w:r w:rsidRPr="00012A24">
        <w:rPr>
          <w:rFonts w:ascii="Courier New" w:eastAsia="Times New Roman" w:hAnsi="Courier New" w:cs="Courier New"/>
          <w:lang w:eastAsia="ro-RO"/>
        </w:rPr>
        <w:t>r%</w:t>
      </w:r>
      <w:proofErr w:type="spellEnd"/>
      <w:r w:rsidRPr="00012A24">
        <w:rPr>
          <w:rFonts w:ascii="Courier New" w:eastAsia="Times New Roman" w:hAnsi="Courier New" w:cs="Courier New"/>
          <w:lang w:eastAsia="ro-RO"/>
        </w:rPr>
        <w:t xml:space="preserve"> - cota de profit.</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28" w:name="CVIII"/>
      <w:r w:rsidRPr="00012A24">
        <w:rPr>
          <w:rFonts w:ascii="Courier New" w:eastAsia="Times New Roman" w:hAnsi="Courier New" w:cs="Courier New"/>
          <w:lang w:eastAsia="ro-RO"/>
        </w:rPr>
        <w:t>CAP. VIII</w:t>
      </w:r>
      <w:bookmarkEnd w:id="28"/>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Modificarea valorii activităţilor specifice serviciului de iluminat public</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29" w:name="A14"/>
      <w:r w:rsidRPr="00012A24">
        <w:rPr>
          <w:rFonts w:ascii="Courier New" w:eastAsia="Times New Roman" w:hAnsi="Courier New" w:cs="Courier New"/>
          <w:lang w:eastAsia="ro-RO"/>
        </w:rPr>
        <w:t>ART. 14</w:t>
      </w:r>
      <w:bookmarkEnd w:id="29"/>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(1) Valoarea activităţilor specifice serviciului de iluminat public se poate modifica în următoarele situaţii:</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a) la modificarea majoră a costurilor, determinate de realizarea modernizării sistemului de iluminat public, în vederea îmbunătăţirii calitative a serviciului de iluminat public;</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b) la modificările determinate de prevederile legislative care conduc la creşterea cheltuielilor materiale, a cheltuielilor cu protecţia mediului şi a cheltuielilor de securitate şi sănătate a muncii.</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(2) În cazul modificării valorii activităţilor specifice serviciului de iluminat public, structura cheltuielilor şi a veniturilor este prezentată în anexa nr. 2.</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(3) Fundamentarea costurilor fiecărei activităţi în parte se face pe baza cheltuielilor materiale, cheltuielilor salariale şi a cheltuielilor operaţionale.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30" w:name="A15"/>
      <w:r w:rsidRPr="00012A24">
        <w:rPr>
          <w:rFonts w:ascii="Courier New" w:eastAsia="Times New Roman" w:hAnsi="Courier New" w:cs="Courier New"/>
          <w:lang w:eastAsia="ro-RO"/>
        </w:rPr>
        <w:t>ART. 15</w:t>
      </w:r>
      <w:bookmarkEnd w:id="30"/>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Modificarea valorii pentru activităţile specifice serviciului de iluminat public se face potrivit formulei:</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lastRenderedPageBreak/>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V(1) = V(0) + delta(V), unde: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V(1) - valoarea modificată a activităţilor specifice serviciului de iluminat public;</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V(0) - valoarea actuală a activităţilor specifice serviciului de iluminat public;</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delta(V) - creşterea valorii aferente activităţilor specifice serviciului de iluminat public;</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delta(V) = [delta(</w:t>
      </w:r>
      <w:proofErr w:type="spellStart"/>
      <w:r w:rsidRPr="00012A24">
        <w:rPr>
          <w:rFonts w:ascii="Courier New" w:eastAsia="Times New Roman" w:hAnsi="Courier New" w:cs="Courier New"/>
          <w:lang w:eastAsia="ro-RO"/>
        </w:rPr>
        <w:t>ct</w:t>
      </w:r>
      <w:proofErr w:type="spellEnd"/>
      <w:r w:rsidRPr="00012A24">
        <w:rPr>
          <w:rFonts w:ascii="Courier New" w:eastAsia="Times New Roman" w:hAnsi="Courier New" w:cs="Courier New"/>
          <w:lang w:eastAsia="ro-RO"/>
        </w:rPr>
        <w:t>) + delta(</w:t>
      </w:r>
      <w:proofErr w:type="spellStart"/>
      <w:r w:rsidRPr="00012A24">
        <w:rPr>
          <w:rFonts w:ascii="Courier New" w:eastAsia="Times New Roman" w:hAnsi="Courier New" w:cs="Courier New"/>
          <w:lang w:eastAsia="ro-RO"/>
        </w:rPr>
        <w:t>ct</w:t>
      </w:r>
      <w:proofErr w:type="spellEnd"/>
      <w:r w:rsidRPr="00012A24">
        <w:rPr>
          <w:rFonts w:ascii="Courier New" w:eastAsia="Times New Roman" w:hAnsi="Courier New" w:cs="Courier New"/>
          <w:lang w:eastAsia="ro-RO"/>
        </w:rPr>
        <w:t xml:space="preserve">) x </w:t>
      </w:r>
      <w:proofErr w:type="spellStart"/>
      <w:r w:rsidRPr="00012A24">
        <w:rPr>
          <w:rFonts w:ascii="Courier New" w:eastAsia="Times New Roman" w:hAnsi="Courier New" w:cs="Courier New"/>
          <w:lang w:eastAsia="ro-RO"/>
        </w:rPr>
        <w:t>r%</w:t>
      </w:r>
      <w:proofErr w:type="spellEnd"/>
      <w:r w:rsidRPr="00012A24">
        <w:rPr>
          <w:rFonts w:ascii="Courier New" w:eastAsia="Times New Roman" w:hAnsi="Courier New" w:cs="Courier New"/>
          <w:lang w:eastAsia="ro-RO"/>
        </w:rPr>
        <w:t>], unde: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delta(</w:t>
      </w:r>
      <w:proofErr w:type="spellStart"/>
      <w:r w:rsidRPr="00012A24">
        <w:rPr>
          <w:rFonts w:ascii="Courier New" w:eastAsia="Times New Roman" w:hAnsi="Courier New" w:cs="Courier New"/>
          <w:lang w:eastAsia="ro-RO"/>
        </w:rPr>
        <w:t>ct</w:t>
      </w:r>
      <w:proofErr w:type="spellEnd"/>
      <w:r w:rsidRPr="00012A24">
        <w:rPr>
          <w:rFonts w:ascii="Courier New" w:eastAsia="Times New Roman" w:hAnsi="Courier New" w:cs="Courier New"/>
          <w:lang w:eastAsia="ro-RO"/>
        </w:rPr>
        <w:t>) - creşterea cheltuielilor totale ca urmare a modificărilor intervenite în costuri;</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proofErr w:type="spellStart"/>
      <w:r w:rsidRPr="00012A24">
        <w:rPr>
          <w:rFonts w:ascii="Courier New" w:eastAsia="Times New Roman" w:hAnsi="Courier New" w:cs="Courier New"/>
          <w:lang w:eastAsia="ro-RO"/>
        </w:rPr>
        <w:t>r%</w:t>
      </w:r>
      <w:proofErr w:type="spellEnd"/>
      <w:r w:rsidRPr="00012A24">
        <w:rPr>
          <w:rFonts w:ascii="Courier New" w:eastAsia="Times New Roman" w:hAnsi="Courier New" w:cs="Courier New"/>
          <w:lang w:eastAsia="ro-RO"/>
        </w:rPr>
        <w:t xml:space="preserve"> - cota de profit.</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bookmarkStart w:id="31" w:name="A16"/>
      <w:r w:rsidRPr="00012A24">
        <w:rPr>
          <w:rFonts w:ascii="Courier New" w:eastAsia="Times New Roman" w:hAnsi="Courier New" w:cs="Courier New"/>
          <w:lang w:eastAsia="ro-RO"/>
        </w:rPr>
        <w:t>ART. 16</w:t>
      </w:r>
      <w:bookmarkEnd w:id="31"/>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Anexele nr. 1 şi 2 fac parte integrantă din prezentele norme metodologice.</w:t>
      </w: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ANEXA 1</w:t>
      </w:r>
      <w:bookmarkEnd w:id="3"/>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la normele metodologice</w:t>
      </w:r>
    </w:p>
    <w:p w:rsidR="00FD3594" w:rsidRPr="00012A24" w:rsidRDefault="00FD3594" w:rsidP="00FD3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FIŞA DE FUNDAMENTARE</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pentru stabilirea valorii activităţilor</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specifice serviciului de iluminat public</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 lei -</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Întreţinere       Modernizare</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xml:space="preserve">               Specificaţie                       activitate        </w:t>
      </w:r>
      <w:proofErr w:type="spellStart"/>
      <w:r w:rsidRPr="00012A24">
        <w:rPr>
          <w:rFonts w:ascii="Courier New" w:eastAsia="Times New Roman" w:hAnsi="Courier New" w:cs="Courier New"/>
          <w:lang w:eastAsia="ro-RO"/>
        </w:rPr>
        <w:t>activitate</w:t>
      </w:r>
      <w:proofErr w:type="spellEnd"/>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1.  Cheltuieli materiale, din care:</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  materii prime şi materiale</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  amortizarea</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  alte cheltuieli materiale</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2.  Cheltuieli cu munca vie, din care:</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  salarii</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 CAS</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 fond şomaj</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 CASS</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 fond de risc</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 cota de contribuţii pentru concedii</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şi indemnizaţii</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 fond garantare creanţe salariale</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3.  Cheltuieli operaţionale (utilaje etc.)</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I.  Cheltuieli de exploatare (1+2+3)                 C(t)             C(t)</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II. Profit</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w:t>
      </w:r>
      <w:proofErr w:type="spellStart"/>
      <w:r w:rsidRPr="00012A24">
        <w:rPr>
          <w:rFonts w:ascii="Courier New" w:eastAsia="Times New Roman" w:hAnsi="Courier New" w:cs="Courier New"/>
          <w:lang w:eastAsia="ro-RO"/>
        </w:rPr>
        <w:t>III.Valoare</w:t>
      </w:r>
      <w:proofErr w:type="spellEnd"/>
      <w:r w:rsidRPr="00012A24">
        <w:rPr>
          <w:rFonts w:ascii="Courier New" w:eastAsia="Times New Roman" w:hAnsi="Courier New" w:cs="Courier New"/>
          <w:lang w:eastAsia="ro-RO"/>
        </w:rPr>
        <w:t xml:space="preserve"> activitate de iluminat public         V = C(t) + p    V = C(t) + p</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(1+11), exclusiv TVA</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w:t>
      </w:r>
    </w:p>
    <w:p w:rsidR="00FD3594" w:rsidRPr="00012A24" w:rsidRDefault="00FD3594" w:rsidP="00FD3594">
      <w:pPr>
        <w:shd w:val="clear" w:color="auto" w:fill="FFFFFF"/>
        <w:spacing w:after="0" w:line="240" w:lineRule="auto"/>
        <w:rPr>
          <w:rFonts w:ascii="Times New Roman" w:eastAsia="Times New Roman" w:hAnsi="Times New Roman" w:cs="Times New Roman"/>
          <w:sz w:val="27"/>
          <w:szCs w:val="27"/>
          <w:lang w:eastAsia="ro-RO"/>
        </w:rPr>
      </w:pPr>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ANEXA 2</w:t>
      </w:r>
      <w:bookmarkEnd w:id="4"/>
      <w:r w:rsidRPr="00012A24">
        <w:rPr>
          <w:rFonts w:ascii="Times New Roman" w:eastAsia="Times New Roman" w:hAnsi="Times New Roman" w:cs="Times New Roman"/>
          <w:sz w:val="27"/>
          <w:szCs w:val="27"/>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 </w:t>
      </w:r>
      <w:r w:rsidRPr="00012A24">
        <w:rPr>
          <w:rFonts w:ascii="Courier New" w:eastAsia="Times New Roman" w:hAnsi="Courier New" w:cs="Courier New"/>
          <w:lang w:eastAsia="ro-RO"/>
        </w:rPr>
        <w:t>la normele metodologice</w:t>
      </w:r>
    </w:p>
    <w:p w:rsidR="00FD3594" w:rsidRPr="00012A24" w:rsidRDefault="00FD3594" w:rsidP="00FD3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012A24">
        <w:rPr>
          <w:rFonts w:ascii="Courier New" w:eastAsia="Times New Roman" w:hAnsi="Courier New" w:cs="Courier New"/>
          <w:sz w:val="20"/>
          <w:szCs w:val="20"/>
          <w:lang w:eastAsia="ro-RO"/>
        </w:rPr>
        <w:lastRenderedPageBreak/>
        <w:br/>
      </w:r>
      <w:r w:rsidRPr="00012A24">
        <w:rPr>
          <w:rFonts w:ascii="Courier New" w:eastAsia="Times New Roman" w:hAnsi="Courier New" w:cs="Courier New"/>
          <w:lang w:eastAsia="ro-RO"/>
        </w:rPr>
        <w:t>                        FIŞA DE FUNDAMENTARE</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pentru ajustarea sau modificarea valorii</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activităţilor specifice serviciului de iluminat public</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 lei -</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xml:space="preserve">       Specificaţie           </w:t>
      </w:r>
      <w:proofErr w:type="spellStart"/>
      <w:r w:rsidRPr="00012A24">
        <w:rPr>
          <w:rFonts w:ascii="Courier New" w:eastAsia="Times New Roman" w:hAnsi="Courier New" w:cs="Courier New"/>
          <w:lang w:eastAsia="ro-RO"/>
        </w:rPr>
        <w:t>Intreţinere</w:t>
      </w:r>
      <w:proofErr w:type="spellEnd"/>
      <w:r w:rsidRPr="00012A24">
        <w:rPr>
          <w:rFonts w:ascii="Courier New" w:eastAsia="Times New Roman" w:hAnsi="Courier New" w:cs="Courier New"/>
          <w:lang w:eastAsia="ro-RO"/>
        </w:rPr>
        <w:t xml:space="preserve"> activitate     Modernizare activitate</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Actual  Propus  Creştere  Actual  Produs  Creştere</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                         %</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1. Cheltuieli materiale, din</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care:</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 materii prime şi materiale</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 amortizarea</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 alte cheltuieli materiale</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2. Cheltuieli cu munca vie,</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din care:</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 salarii</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 CAS</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 fond şomaj</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 CASS</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 fond de risc</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 cota de contribuţii pentru</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concedii şi indemnizaţii</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 fond garantare creanţe</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salariale</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3. Cheltuieli operaţionale</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(utilaje etc.)</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I. Cheltuieli de exploatare                 delta(V)=               delta(V)=</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xml:space="preserve">    (1+2+3)                                  creşterea               </w:t>
      </w:r>
      <w:proofErr w:type="spellStart"/>
      <w:r w:rsidRPr="00012A24">
        <w:rPr>
          <w:rFonts w:ascii="Courier New" w:eastAsia="Times New Roman" w:hAnsi="Courier New" w:cs="Courier New"/>
          <w:lang w:eastAsia="ro-RO"/>
        </w:rPr>
        <w:t>creşterea</w:t>
      </w:r>
      <w:proofErr w:type="spellEnd"/>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xml:space="preserve">                                              valorii                 </w:t>
      </w:r>
      <w:proofErr w:type="spellStart"/>
      <w:r w:rsidRPr="00012A24">
        <w:rPr>
          <w:rFonts w:ascii="Courier New" w:eastAsia="Times New Roman" w:hAnsi="Courier New" w:cs="Courier New"/>
          <w:lang w:eastAsia="ro-RO"/>
        </w:rPr>
        <w:t>valorii</w:t>
      </w:r>
      <w:proofErr w:type="spellEnd"/>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w:t>
      </w:r>
      <w:proofErr w:type="spellStart"/>
      <w:r w:rsidRPr="00012A24">
        <w:rPr>
          <w:rFonts w:ascii="Courier New" w:eastAsia="Times New Roman" w:hAnsi="Courier New" w:cs="Courier New"/>
          <w:lang w:eastAsia="ro-RO"/>
        </w:rPr>
        <w:t>II.Profit</w:t>
      </w:r>
      <w:proofErr w:type="spellEnd"/>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w:t>
      </w:r>
      <w:proofErr w:type="spellStart"/>
      <w:r w:rsidRPr="00012A24">
        <w:rPr>
          <w:rFonts w:ascii="Courier New" w:eastAsia="Times New Roman" w:hAnsi="Courier New" w:cs="Courier New"/>
          <w:lang w:eastAsia="ro-RO"/>
        </w:rPr>
        <w:t>III.Valoare</w:t>
      </w:r>
      <w:proofErr w:type="spellEnd"/>
      <w:r w:rsidRPr="00012A24">
        <w:rPr>
          <w:rFonts w:ascii="Courier New" w:eastAsia="Times New Roman" w:hAnsi="Courier New" w:cs="Courier New"/>
          <w:lang w:eastAsia="ro-RO"/>
        </w:rPr>
        <w:t xml:space="preserve"> activitate de     V(0)          delta(V)=    V(0)       delta(V)=</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xml:space="preserve">    iluminat public (1+11),                  creşterea               </w:t>
      </w:r>
      <w:proofErr w:type="spellStart"/>
      <w:r w:rsidRPr="00012A24">
        <w:rPr>
          <w:rFonts w:ascii="Courier New" w:eastAsia="Times New Roman" w:hAnsi="Courier New" w:cs="Courier New"/>
          <w:lang w:eastAsia="ro-RO"/>
        </w:rPr>
        <w:t>creşterea</w:t>
      </w:r>
      <w:proofErr w:type="spellEnd"/>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xml:space="preserve">    exclusiv TVA                              valorii                 </w:t>
      </w:r>
      <w:proofErr w:type="spellStart"/>
      <w:r w:rsidRPr="00012A24">
        <w:rPr>
          <w:rFonts w:ascii="Courier New" w:eastAsia="Times New Roman" w:hAnsi="Courier New" w:cs="Courier New"/>
          <w:lang w:eastAsia="ro-RO"/>
        </w:rPr>
        <w:t>valorii</w:t>
      </w:r>
      <w:proofErr w:type="spellEnd"/>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V(1)=V(0)+              V(1)=V(0)+</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delta(V)                delta(V)</w:t>
      </w:r>
      <w:r w:rsidRPr="00012A24">
        <w:rPr>
          <w:rFonts w:ascii="Courier New" w:eastAsia="Times New Roman" w:hAnsi="Courier New" w:cs="Courier New"/>
          <w:sz w:val="20"/>
          <w:szCs w:val="20"/>
          <w:lang w:eastAsia="ro-RO"/>
        </w:rPr>
        <w:br/>
      </w:r>
      <w:r w:rsidRPr="00012A24">
        <w:rPr>
          <w:rFonts w:ascii="Courier New" w:eastAsia="Times New Roman" w:hAnsi="Courier New" w:cs="Courier New"/>
          <w:lang w:eastAsia="ro-RO"/>
        </w:rPr>
        <w:t> ──────────────────────────────────────────────────────────────────────────────</w:t>
      </w:r>
    </w:p>
    <w:p w:rsidR="00FD3594" w:rsidRPr="00012A24" w:rsidRDefault="00FD3594" w:rsidP="00FD3594">
      <w:pPr>
        <w:shd w:val="clear" w:color="auto" w:fill="FFFFFF"/>
        <w:spacing w:after="270" w:line="240" w:lineRule="auto"/>
        <w:rPr>
          <w:rFonts w:ascii="Times New Roman" w:eastAsia="Times New Roman" w:hAnsi="Times New Roman" w:cs="Times New Roman"/>
          <w:sz w:val="27"/>
          <w:szCs w:val="27"/>
          <w:lang w:eastAsia="ro-RO"/>
        </w:rPr>
      </w:pPr>
      <w:r w:rsidRPr="00012A24">
        <w:rPr>
          <w:rFonts w:ascii="Times New Roman" w:eastAsia="Times New Roman" w:hAnsi="Times New Roman" w:cs="Times New Roman"/>
          <w:sz w:val="27"/>
          <w:szCs w:val="27"/>
          <w:lang w:eastAsia="ro-RO"/>
        </w:rPr>
        <w:lastRenderedPageBreak/>
        <w:br/>
      </w:r>
    </w:p>
    <w:p w:rsidR="00231756" w:rsidRPr="00012A24" w:rsidRDefault="00FD3594" w:rsidP="00FD3594">
      <w:r w:rsidRPr="00012A24">
        <w:rPr>
          <w:rFonts w:ascii="Times New Roman" w:eastAsia="Times New Roman" w:hAnsi="Times New Roman" w:cs="Times New Roman"/>
          <w:sz w:val="27"/>
          <w:szCs w:val="27"/>
          <w:lang w:eastAsia="ro-RO"/>
        </w:rPr>
        <w:t>   </w:t>
      </w:r>
    </w:p>
    <w:sectPr w:rsidR="00231756" w:rsidRPr="00012A24" w:rsidSect="002317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D3594"/>
    <w:rsid w:val="00012A24"/>
    <w:rsid w:val="000F152D"/>
    <w:rsid w:val="00231756"/>
    <w:rsid w:val="003E442F"/>
    <w:rsid w:val="00B00046"/>
    <w:rsid w:val="00B97321"/>
    <w:rsid w:val="00C60513"/>
    <w:rsid w:val="00EE1DD0"/>
    <w:rsid w:val="00FD359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7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3594"/>
    <w:rPr>
      <w:color w:val="0000FF"/>
      <w:u w:val="single"/>
    </w:rPr>
  </w:style>
  <w:style w:type="character" w:customStyle="1" w:styleId="panchor">
    <w:name w:val="panchor"/>
    <w:basedOn w:val="DefaultParagraphFont"/>
    <w:rsid w:val="00FD3594"/>
  </w:style>
  <w:style w:type="paragraph" w:styleId="HTMLPreformatted">
    <w:name w:val="HTML Preformatted"/>
    <w:basedOn w:val="Normal"/>
    <w:link w:val="HTMLPreformattedChar"/>
    <w:uiPriority w:val="99"/>
    <w:semiHidden/>
    <w:unhideWhenUsed/>
    <w:rsid w:val="00FD3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FD3594"/>
    <w:rPr>
      <w:rFonts w:ascii="Courier New" w:eastAsia="Times New Roman" w:hAnsi="Courier New" w:cs="Courier New"/>
      <w:sz w:val="20"/>
      <w:szCs w:val="20"/>
      <w:lang w:eastAsia="ro-RO"/>
    </w:rPr>
  </w:style>
</w:styles>
</file>

<file path=word/webSettings.xml><?xml version="1.0" encoding="utf-8"?>
<w:webSettings xmlns:r="http://schemas.openxmlformats.org/officeDocument/2006/relationships" xmlns:w="http://schemas.openxmlformats.org/wordprocessingml/2006/main">
  <w:divs>
    <w:div w:id="384958498">
      <w:bodyDiv w:val="1"/>
      <w:marLeft w:val="0"/>
      <w:marRight w:val="0"/>
      <w:marTop w:val="0"/>
      <w:marBottom w:val="0"/>
      <w:divBdr>
        <w:top w:val="none" w:sz="0" w:space="0" w:color="auto"/>
        <w:left w:val="none" w:sz="0" w:space="0" w:color="auto"/>
        <w:bottom w:val="none" w:sz="0" w:space="0" w:color="auto"/>
        <w:right w:val="none" w:sz="0" w:space="0" w:color="auto"/>
      </w:divBdr>
      <w:divsChild>
        <w:div w:id="766077606">
          <w:marLeft w:val="0"/>
          <w:marRight w:val="0"/>
          <w:marTop w:val="0"/>
          <w:marBottom w:val="0"/>
          <w:divBdr>
            <w:top w:val="single" w:sz="48" w:space="0" w:color="F0F0F0"/>
            <w:left w:val="none" w:sz="0" w:space="0" w:color="auto"/>
            <w:bottom w:val="none" w:sz="0" w:space="0" w:color="auto"/>
            <w:right w:val="none" w:sz="0" w:space="0" w:color="auto"/>
          </w:divBdr>
          <w:divsChild>
            <w:div w:id="2049837170">
              <w:marLeft w:val="0"/>
              <w:marRight w:val="0"/>
              <w:marTop w:val="0"/>
              <w:marBottom w:val="0"/>
              <w:divBdr>
                <w:top w:val="none" w:sz="0" w:space="0" w:color="auto"/>
                <w:left w:val="none" w:sz="0" w:space="0" w:color="auto"/>
                <w:bottom w:val="none" w:sz="0" w:space="0" w:color="auto"/>
                <w:right w:val="none" w:sz="0" w:space="0" w:color="auto"/>
              </w:divBdr>
            </w:div>
            <w:div w:id="198396637">
              <w:marLeft w:val="0"/>
              <w:marRight w:val="0"/>
              <w:marTop w:val="0"/>
              <w:marBottom w:val="0"/>
              <w:divBdr>
                <w:top w:val="none" w:sz="0" w:space="0" w:color="auto"/>
                <w:left w:val="none" w:sz="0" w:space="0" w:color="auto"/>
                <w:bottom w:val="none" w:sz="0" w:space="0" w:color="auto"/>
                <w:right w:val="none" w:sz="0" w:space="0" w:color="auto"/>
              </w:divBdr>
            </w:div>
            <w:div w:id="533660973">
              <w:marLeft w:val="0"/>
              <w:marRight w:val="0"/>
              <w:marTop w:val="0"/>
              <w:marBottom w:val="0"/>
              <w:divBdr>
                <w:top w:val="none" w:sz="0" w:space="0" w:color="auto"/>
                <w:left w:val="none" w:sz="0" w:space="0" w:color="auto"/>
                <w:bottom w:val="none" w:sz="0" w:space="0" w:color="auto"/>
                <w:right w:val="none" w:sz="0" w:space="0" w:color="auto"/>
              </w:divBdr>
            </w:div>
            <w:div w:id="435828842">
              <w:marLeft w:val="0"/>
              <w:marRight w:val="0"/>
              <w:marTop w:val="0"/>
              <w:marBottom w:val="0"/>
              <w:divBdr>
                <w:top w:val="none" w:sz="0" w:space="0" w:color="auto"/>
                <w:left w:val="none" w:sz="0" w:space="0" w:color="auto"/>
                <w:bottom w:val="none" w:sz="0" w:space="0" w:color="auto"/>
                <w:right w:val="none" w:sz="0" w:space="0" w:color="auto"/>
              </w:divBdr>
            </w:div>
            <w:div w:id="1697852809">
              <w:marLeft w:val="0"/>
              <w:marRight w:val="0"/>
              <w:marTop w:val="0"/>
              <w:marBottom w:val="0"/>
              <w:divBdr>
                <w:top w:val="none" w:sz="0" w:space="0" w:color="auto"/>
                <w:left w:val="none" w:sz="0" w:space="0" w:color="auto"/>
                <w:bottom w:val="none" w:sz="0" w:space="0" w:color="auto"/>
                <w:right w:val="none" w:sz="0" w:space="0" w:color="auto"/>
              </w:divBdr>
            </w:div>
            <w:div w:id="81151049">
              <w:marLeft w:val="0"/>
              <w:marRight w:val="0"/>
              <w:marTop w:val="0"/>
              <w:marBottom w:val="0"/>
              <w:divBdr>
                <w:top w:val="none" w:sz="0" w:space="0" w:color="auto"/>
                <w:left w:val="none" w:sz="0" w:space="0" w:color="auto"/>
                <w:bottom w:val="none" w:sz="0" w:space="0" w:color="auto"/>
                <w:right w:val="none" w:sz="0" w:space="0" w:color="auto"/>
              </w:divBdr>
            </w:div>
            <w:div w:id="13360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2470</Words>
  <Characters>14331</Characters>
  <Application>Microsoft Office Word</Application>
  <DocSecurity>0</DocSecurity>
  <Lines>119</Lines>
  <Paragraphs>33</Paragraphs>
  <ScaleCrop>false</ScaleCrop>
  <Company/>
  <LinksUpToDate>false</LinksUpToDate>
  <CharactersWithSpaces>16768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florina.vartolomei</dc:creator>
  <cp:keywords/>
  <dc:description/>
  <cp:lastModifiedBy>florina.vartolomei</cp:lastModifiedBy>
  <cp:revision>7</cp:revision>
  <dcterms:created xsi:type="dcterms:W3CDTF">2019-08-05T08:18:00Z</dcterms:created>
  <dcterms:modified xsi:type="dcterms:W3CDTF">2019-08-12T07:44:00Z</dcterms:modified>
</cp:coreProperties>
</file>