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9A61" w14:textId="77777777" w:rsidR="00022263" w:rsidRPr="00C75B31" w:rsidRDefault="00022263" w:rsidP="00022263">
      <w:pPr>
        <w:spacing w:after="120"/>
        <w:jc w:val="center"/>
        <w:rPr>
          <w:rStyle w:val="sden"/>
          <w:rFonts w:ascii="Times New Roman" w:hAnsi="Times New Roman" w:cs="Times New Roman"/>
          <w:sz w:val="24"/>
          <w:szCs w:val="24"/>
          <w:bdr w:val="none" w:sz="0" w:space="0" w:color="auto" w:frame="1"/>
          <w:shd w:val="clear" w:color="auto" w:fill="FFFFFF"/>
          <w:lang w:val="ro-RO"/>
        </w:rPr>
      </w:pPr>
      <w:r w:rsidRPr="00C75B31">
        <w:rPr>
          <w:rStyle w:val="sden"/>
          <w:rFonts w:ascii="Times New Roman" w:hAnsi="Times New Roman" w:cs="Times New Roman"/>
          <w:sz w:val="24"/>
          <w:szCs w:val="24"/>
          <w:bdr w:val="none" w:sz="0" w:space="0" w:color="auto" w:frame="1"/>
          <w:shd w:val="clear" w:color="auto" w:fill="FFFFFF"/>
          <w:lang w:val="ro-RO"/>
        </w:rPr>
        <w:t xml:space="preserve">ORDIN </w:t>
      </w:r>
    </w:p>
    <w:p w14:paraId="20024F04" w14:textId="301C73B3" w:rsidR="00CD0B61" w:rsidRPr="00C75B31" w:rsidRDefault="00022263" w:rsidP="00CD0B61">
      <w:pPr>
        <w:spacing w:after="0" w:line="360" w:lineRule="auto"/>
        <w:jc w:val="center"/>
        <w:rPr>
          <w:rFonts w:ascii="Times New Roman" w:hAnsi="Times New Roman" w:cs="Times New Roman"/>
          <w:sz w:val="24"/>
          <w:szCs w:val="24"/>
          <w:lang w:val="ro-RO"/>
        </w:rPr>
      </w:pPr>
      <w:r w:rsidRPr="00C75B31">
        <w:rPr>
          <w:rStyle w:val="sden"/>
          <w:rFonts w:ascii="Times New Roman" w:hAnsi="Times New Roman" w:cs="Times New Roman"/>
          <w:sz w:val="24"/>
          <w:szCs w:val="24"/>
          <w:bdr w:val="none" w:sz="0" w:space="0" w:color="auto" w:frame="1"/>
          <w:shd w:val="clear" w:color="auto" w:fill="FFFFFF"/>
          <w:lang w:val="ro-RO"/>
        </w:rPr>
        <w:t xml:space="preserve">pentru modificarea și completarea </w:t>
      </w:r>
      <w:r w:rsidR="003D38B1" w:rsidRPr="00C75B31">
        <w:rPr>
          <w:rFonts w:ascii="Times New Roman" w:hAnsi="Times New Roman" w:cs="Times New Roman"/>
          <w:sz w:val="24"/>
          <w:szCs w:val="24"/>
          <w:lang w:val="ro-RO"/>
        </w:rPr>
        <w:t>Normelor metodologice</w:t>
      </w:r>
      <w:r w:rsidR="003D38B1">
        <w:rPr>
          <w:rFonts w:ascii="Times New Roman" w:hAnsi="Times New Roman" w:cs="Times New Roman"/>
          <w:sz w:val="24"/>
          <w:szCs w:val="24"/>
          <w:lang w:val="ro-RO"/>
        </w:rPr>
        <w:t xml:space="preserve"> </w:t>
      </w:r>
      <w:r w:rsidR="003D38B1" w:rsidRPr="00C75B31">
        <w:rPr>
          <w:rFonts w:ascii="Times New Roman" w:hAnsi="Times New Roman" w:cs="Times New Roman"/>
          <w:sz w:val="24"/>
          <w:szCs w:val="24"/>
          <w:lang w:val="ro-RO"/>
        </w:rPr>
        <w:t>de stabilire, ajustare sau modificare a tarifelor pentru activitățile de salubrizare, precum și de calculare</w:t>
      </w:r>
      <w:r w:rsidR="003D38B1">
        <w:rPr>
          <w:rFonts w:ascii="Times New Roman" w:hAnsi="Times New Roman" w:cs="Times New Roman"/>
          <w:sz w:val="24"/>
          <w:szCs w:val="24"/>
          <w:lang w:val="ro-RO"/>
        </w:rPr>
        <w:t xml:space="preserve"> </w:t>
      </w:r>
      <w:r w:rsidR="003D38B1" w:rsidRPr="00C75B31">
        <w:rPr>
          <w:rFonts w:ascii="Times New Roman" w:hAnsi="Times New Roman" w:cs="Times New Roman"/>
          <w:sz w:val="24"/>
          <w:szCs w:val="24"/>
          <w:lang w:val="ro-RO"/>
        </w:rPr>
        <w:t>a tarifelor/taxelor distincte pentru gestionarea deșeurilor și a taxelor de salubrizare</w:t>
      </w:r>
      <w:r w:rsidR="003D38B1">
        <w:rPr>
          <w:rFonts w:ascii="Times New Roman" w:hAnsi="Times New Roman" w:cs="Times New Roman"/>
          <w:sz w:val="24"/>
          <w:szCs w:val="24"/>
          <w:lang w:val="ro-RO"/>
        </w:rPr>
        <w:t xml:space="preserve"> aprobate prin </w:t>
      </w:r>
      <w:r w:rsidRPr="00C75B31">
        <w:rPr>
          <w:rStyle w:val="sden"/>
          <w:rFonts w:ascii="Times New Roman" w:hAnsi="Times New Roman" w:cs="Times New Roman"/>
          <w:sz w:val="24"/>
          <w:szCs w:val="24"/>
          <w:bdr w:val="none" w:sz="0" w:space="0" w:color="auto" w:frame="1"/>
          <w:shd w:val="clear" w:color="auto" w:fill="FFFFFF"/>
          <w:lang w:val="ro-RO"/>
        </w:rPr>
        <w:t xml:space="preserve">Ordinul </w:t>
      </w:r>
      <w:r w:rsidR="00CD0B61" w:rsidRPr="00C75B31">
        <w:rPr>
          <w:rFonts w:ascii="Times New Roman" w:hAnsi="Times New Roman" w:cs="Times New Roman"/>
          <w:sz w:val="24"/>
          <w:szCs w:val="24"/>
          <w:lang w:val="ro-RO"/>
        </w:rPr>
        <w:t>președintelui</w:t>
      </w:r>
      <w:r w:rsidRPr="00C75B31">
        <w:rPr>
          <w:rFonts w:ascii="Times New Roman" w:hAnsi="Times New Roman" w:cs="Times New Roman"/>
          <w:sz w:val="24"/>
          <w:szCs w:val="24"/>
          <w:lang w:val="ro-RO"/>
        </w:rPr>
        <w:t xml:space="preserve"> </w:t>
      </w:r>
      <w:r w:rsidR="00CD0B61" w:rsidRPr="00C75B31">
        <w:rPr>
          <w:rFonts w:ascii="Times New Roman" w:hAnsi="Times New Roman" w:cs="Times New Roman"/>
          <w:sz w:val="24"/>
          <w:szCs w:val="24"/>
          <w:lang w:val="ro-RO"/>
        </w:rPr>
        <w:t>Autorității</w:t>
      </w:r>
      <w:r w:rsidRPr="00C75B31">
        <w:rPr>
          <w:rFonts w:ascii="Times New Roman" w:hAnsi="Times New Roman" w:cs="Times New Roman"/>
          <w:sz w:val="24"/>
          <w:szCs w:val="24"/>
          <w:lang w:val="ro-RO"/>
        </w:rPr>
        <w:t xml:space="preserve"> </w:t>
      </w:r>
      <w:r w:rsidR="00CD0B61" w:rsidRPr="00C75B31">
        <w:rPr>
          <w:rFonts w:ascii="Times New Roman" w:hAnsi="Times New Roman" w:cs="Times New Roman"/>
          <w:sz w:val="24"/>
          <w:szCs w:val="24"/>
          <w:lang w:val="ro-RO"/>
        </w:rPr>
        <w:t>Naționale</w:t>
      </w:r>
      <w:r w:rsidRPr="00C75B31">
        <w:rPr>
          <w:rFonts w:ascii="Times New Roman" w:hAnsi="Times New Roman" w:cs="Times New Roman"/>
          <w:sz w:val="24"/>
          <w:szCs w:val="24"/>
          <w:lang w:val="ro-RO"/>
        </w:rPr>
        <w:t xml:space="preserve"> de Reglementare</w:t>
      </w:r>
      <w:r w:rsidR="00C75B31">
        <w:rPr>
          <w:rFonts w:ascii="Times New Roman" w:hAnsi="Times New Roman" w:cs="Times New Roman"/>
          <w:sz w:val="24"/>
          <w:szCs w:val="24"/>
          <w:lang w:val="ro-RO"/>
        </w:rPr>
        <w:t xml:space="preserve"> </w:t>
      </w:r>
      <w:r w:rsidRPr="00C75B31">
        <w:rPr>
          <w:rFonts w:ascii="Times New Roman" w:hAnsi="Times New Roman" w:cs="Times New Roman"/>
          <w:sz w:val="24"/>
          <w:szCs w:val="24"/>
          <w:lang w:val="ro-RO"/>
        </w:rPr>
        <w:t xml:space="preserve">pentru Serviciile Comunitare de </w:t>
      </w:r>
      <w:r w:rsidR="00CD0B61" w:rsidRPr="00C75B31">
        <w:rPr>
          <w:rFonts w:ascii="Times New Roman" w:hAnsi="Times New Roman" w:cs="Times New Roman"/>
          <w:sz w:val="24"/>
          <w:szCs w:val="24"/>
          <w:lang w:val="ro-RO"/>
        </w:rPr>
        <w:t>Utilități</w:t>
      </w:r>
      <w:r w:rsidRPr="00C75B31">
        <w:rPr>
          <w:rFonts w:ascii="Times New Roman" w:hAnsi="Times New Roman" w:cs="Times New Roman"/>
          <w:sz w:val="24"/>
          <w:szCs w:val="24"/>
          <w:lang w:val="ro-RO"/>
        </w:rPr>
        <w:t xml:space="preserve"> Publice </w:t>
      </w:r>
      <w:r w:rsidRPr="00C75B31">
        <w:rPr>
          <w:rStyle w:val="sden"/>
          <w:rFonts w:ascii="Times New Roman" w:hAnsi="Times New Roman" w:cs="Times New Roman"/>
          <w:sz w:val="24"/>
          <w:szCs w:val="24"/>
          <w:bdr w:val="none" w:sz="0" w:space="0" w:color="auto" w:frame="1"/>
          <w:shd w:val="clear" w:color="auto" w:fill="FFFFFF"/>
          <w:lang w:val="ro-RO"/>
        </w:rPr>
        <w:t>nr.</w:t>
      </w:r>
      <w:r w:rsidR="00CD0B61" w:rsidRPr="00C75B31">
        <w:rPr>
          <w:rStyle w:val="sden"/>
          <w:rFonts w:ascii="Times New Roman" w:hAnsi="Times New Roman" w:cs="Times New Roman"/>
          <w:sz w:val="24"/>
          <w:szCs w:val="24"/>
          <w:bdr w:val="none" w:sz="0" w:space="0" w:color="auto" w:frame="1"/>
          <w:shd w:val="clear" w:color="auto" w:fill="FFFFFF"/>
          <w:lang w:val="ro-RO"/>
        </w:rPr>
        <w:t xml:space="preserve"> </w:t>
      </w:r>
      <w:r w:rsidRPr="00C75B31">
        <w:rPr>
          <w:rStyle w:val="sden"/>
          <w:rFonts w:ascii="Times New Roman" w:hAnsi="Times New Roman" w:cs="Times New Roman"/>
          <w:sz w:val="24"/>
          <w:szCs w:val="24"/>
          <w:bdr w:val="none" w:sz="0" w:space="0" w:color="auto" w:frame="1"/>
          <w:shd w:val="clear" w:color="auto" w:fill="FFFFFF"/>
          <w:lang w:val="ro-RO"/>
        </w:rPr>
        <w:t>6</w:t>
      </w:r>
      <w:r w:rsidR="00CD0B61" w:rsidRPr="00C75B31">
        <w:rPr>
          <w:rStyle w:val="sden"/>
          <w:rFonts w:ascii="Times New Roman" w:hAnsi="Times New Roman" w:cs="Times New Roman"/>
          <w:sz w:val="24"/>
          <w:szCs w:val="24"/>
          <w:bdr w:val="none" w:sz="0" w:space="0" w:color="auto" w:frame="1"/>
          <w:shd w:val="clear" w:color="auto" w:fill="FFFFFF"/>
          <w:lang w:val="ro-RO"/>
        </w:rPr>
        <w:t>40</w:t>
      </w:r>
      <w:r w:rsidRPr="00C75B31">
        <w:rPr>
          <w:rStyle w:val="sden"/>
          <w:rFonts w:ascii="Times New Roman" w:hAnsi="Times New Roman" w:cs="Times New Roman"/>
          <w:sz w:val="24"/>
          <w:szCs w:val="24"/>
          <w:bdr w:val="none" w:sz="0" w:space="0" w:color="auto" w:frame="1"/>
          <w:shd w:val="clear" w:color="auto" w:fill="FFFFFF"/>
          <w:lang w:val="ro-RO"/>
        </w:rPr>
        <w:t>/20</w:t>
      </w:r>
      <w:r w:rsidR="00CD0B61" w:rsidRPr="00C75B31">
        <w:rPr>
          <w:rStyle w:val="sden"/>
          <w:rFonts w:ascii="Times New Roman" w:hAnsi="Times New Roman" w:cs="Times New Roman"/>
          <w:sz w:val="24"/>
          <w:szCs w:val="24"/>
          <w:bdr w:val="none" w:sz="0" w:space="0" w:color="auto" w:frame="1"/>
          <w:shd w:val="clear" w:color="auto" w:fill="FFFFFF"/>
          <w:lang w:val="ro-RO"/>
        </w:rPr>
        <w:t>22</w:t>
      </w:r>
      <w:r w:rsidRPr="00C75B31">
        <w:rPr>
          <w:rStyle w:val="spar"/>
          <w:rFonts w:ascii="Times New Roman" w:hAnsi="Times New Roman" w:cs="Times New Roman"/>
          <w:sz w:val="24"/>
          <w:szCs w:val="24"/>
          <w:bdr w:val="none" w:sz="0" w:space="0" w:color="auto" w:frame="1"/>
          <w:shd w:val="clear" w:color="auto" w:fill="FFFFFF"/>
          <w:lang w:val="ro-RO"/>
        </w:rPr>
        <w:t xml:space="preserve"> </w:t>
      </w:r>
    </w:p>
    <w:p w14:paraId="7716157C" w14:textId="77777777" w:rsidR="00022263" w:rsidRPr="00C75B31" w:rsidRDefault="00022263" w:rsidP="00022263">
      <w:pPr>
        <w:spacing w:after="120"/>
        <w:rPr>
          <w:rStyle w:val="spar"/>
          <w:rFonts w:ascii="Times New Roman" w:hAnsi="Times New Roman" w:cs="Times New Roman"/>
          <w:b/>
          <w:sz w:val="24"/>
          <w:szCs w:val="24"/>
          <w:bdr w:val="none" w:sz="0" w:space="0" w:color="auto" w:frame="1"/>
          <w:shd w:val="clear" w:color="auto" w:fill="FFFFFF"/>
          <w:lang w:val="ro-RO"/>
        </w:rPr>
      </w:pPr>
    </w:p>
    <w:p w14:paraId="25431DAD" w14:textId="3BF07805" w:rsidR="00022263" w:rsidRPr="00C75B31" w:rsidRDefault="00022263" w:rsidP="0047721A">
      <w:pPr>
        <w:spacing w:after="120" w:line="360" w:lineRule="auto"/>
        <w:rPr>
          <w:rStyle w:val="spar"/>
          <w:rFonts w:ascii="Times New Roman" w:hAnsi="Times New Roman" w:cs="Times New Roman"/>
          <w:b/>
          <w:sz w:val="24"/>
          <w:szCs w:val="24"/>
          <w:bdr w:val="none" w:sz="0" w:space="0" w:color="auto" w:frame="1"/>
          <w:shd w:val="clear" w:color="auto" w:fill="FFFFFF"/>
          <w:lang w:val="ro-RO"/>
        </w:rPr>
      </w:pPr>
      <w:r w:rsidRPr="00C75B31">
        <w:rPr>
          <w:rFonts w:ascii="Times New Roman" w:hAnsi="Times New Roman" w:cs="Times New Roman"/>
          <w:sz w:val="24"/>
          <w:szCs w:val="24"/>
          <w:lang w:val="ro-RO"/>
        </w:rPr>
        <w:t>Având în vedere:</w:t>
      </w:r>
    </w:p>
    <w:p w14:paraId="26C068E6" w14:textId="46256283" w:rsidR="00022263" w:rsidRPr="00C75B31" w:rsidRDefault="00022263" w:rsidP="0047721A">
      <w:pPr>
        <w:spacing w:after="120" w:line="360" w:lineRule="auto"/>
        <w:ind w:firstLine="720"/>
        <w:jc w:val="both"/>
        <w:rPr>
          <w:rFonts w:ascii="Times New Roman" w:hAnsi="Times New Roman" w:cs="Times New Roman"/>
          <w:sz w:val="24"/>
          <w:szCs w:val="24"/>
          <w:lang w:val="ro-RO"/>
        </w:rPr>
      </w:pPr>
      <w:r w:rsidRPr="00C75B31">
        <w:rPr>
          <w:rFonts w:ascii="Times New Roman" w:hAnsi="Times New Roman" w:cs="Times New Roman"/>
          <w:sz w:val="24"/>
          <w:szCs w:val="24"/>
          <w:lang w:val="ro-RO"/>
        </w:rPr>
        <w:t>- dispozițiile</w:t>
      </w:r>
      <w:bookmarkStart w:id="0" w:name="REF0"/>
      <w:bookmarkEnd w:id="0"/>
      <w:r w:rsidR="004430A5">
        <w:rPr>
          <w:rFonts w:ascii="Times New Roman" w:hAnsi="Times New Roman" w:cs="Times New Roman"/>
          <w:sz w:val="24"/>
          <w:szCs w:val="24"/>
          <w:lang w:val="ro-RO"/>
        </w:rPr>
        <w:t xml:space="preserve"> </w:t>
      </w:r>
      <w:r w:rsidRPr="00C75B31">
        <w:rPr>
          <w:rStyle w:val="panchor"/>
          <w:rFonts w:ascii="Times New Roman" w:hAnsi="Times New Roman" w:cs="Times New Roman"/>
          <w:sz w:val="24"/>
          <w:szCs w:val="24"/>
          <w:lang w:val="ro-RO"/>
        </w:rPr>
        <w:t>art. 21 alin. (1) lit. a) din Legea serviciilor comunitare de utilități publice nr. 51/2006, republicată</w:t>
      </w:r>
      <w:r w:rsidRPr="00C75B31">
        <w:rPr>
          <w:rFonts w:ascii="Times New Roman" w:hAnsi="Times New Roman" w:cs="Times New Roman"/>
          <w:sz w:val="24"/>
          <w:szCs w:val="24"/>
          <w:lang w:val="ro-RO"/>
        </w:rPr>
        <w:t>, cu modificările și completările ulterioare, precum și ale </w:t>
      </w:r>
      <w:bookmarkStart w:id="1" w:name="REF1"/>
      <w:bookmarkEnd w:id="1"/>
      <w:r w:rsidRPr="00C75B31">
        <w:rPr>
          <w:rStyle w:val="panchor"/>
          <w:rFonts w:ascii="Times New Roman" w:hAnsi="Times New Roman" w:cs="Times New Roman"/>
          <w:sz w:val="24"/>
          <w:szCs w:val="24"/>
          <w:lang w:val="ro-RO"/>
        </w:rPr>
        <w:t>art. 11 alin. (2) din Legea serviciului de salubrizare a localităților nr. 101/2006, republicată</w:t>
      </w:r>
      <w:r w:rsidRPr="00C75B31">
        <w:rPr>
          <w:rFonts w:ascii="Times New Roman" w:hAnsi="Times New Roman" w:cs="Times New Roman"/>
          <w:sz w:val="24"/>
          <w:szCs w:val="24"/>
          <w:lang w:val="ro-RO"/>
        </w:rPr>
        <w:t>, cu modificările și completările ulterioare;</w:t>
      </w:r>
    </w:p>
    <w:p w14:paraId="1AD6316B" w14:textId="22477FA8" w:rsidR="00022263" w:rsidRPr="00C75B31" w:rsidRDefault="00022263" w:rsidP="0047721A">
      <w:pPr>
        <w:spacing w:after="120" w:line="360" w:lineRule="auto"/>
        <w:ind w:firstLine="720"/>
        <w:jc w:val="both"/>
        <w:rPr>
          <w:rFonts w:ascii="Times New Roman" w:hAnsi="Times New Roman" w:cs="Times New Roman"/>
          <w:sz w:val="24"/>
          <w:szCs w:val="24"/>
          <w:lang w:val="ro-RO"/>
        </w:rPr>
      </w:pPr>
      <w:r w:rsidRPr="00C75B31">
        <w:rPr>
          <w:rFonts w:ascii="Times New Roman" w:hAnsi="Times New Roman" w:cs="Times New Roman"/>
          <w:sz w:val="24"/>
          <w:szCs w:val="24"/>
          <w:lang w:val="ro-RO"/>
        </w:rPr>
        <w:t>- Referatul de aprobare al Direcției preturi, tarife</w:t>
      </w:r>
    </w:p>
    <w:p w14:paraId="7E1EF23B" w14:textId="62D97165" w:rsidR="00022263" w:rsidRPr="00C75B31" w:rsidRDefault="00022263" w:rsidP="0047721A">
      <w:pPr>
        <w:spacing w:after="120" w:line="360" w:lineRule="auto"/>
        <w:jc w:val="both"/>
        <w:rPr>
          <w:rStyle w:val="apple-style-span"/>
          <w:rFonts w:ascii="Times New Roman" w:hAnsi="Times New Roman"/>
          <w:sz w:val="24"/>
          <w:szCs w:val="24"/>
          <w:lang w:val="ro-RO"/>
        </w:rPr>
      </w:pPr>
      <w:r w:rsidRPr="00C75B31">
        <w:rPr>
          <w:rFonts w:ascii="Times New Roman" w:hAnsi="Times New Roman" w:cs="Times New Roman"/>
          <w:sz w:val="24"/>
          <w:szCs w:val="24"/>
          <w:lang w:val="ro-RO"/>
        </w:rPr>
        <w:t xml:space="preserve">în temeiul prevederilor art. 4 alin. (4) din Regulamentul de organizare </w:t>
      </w:r>
      <w:r w:rsidR="00CD0B61" w:rsidRPr="00C75B31">
        <w:rPr>
          <w:rFonts w:ascii="Times New Roman" w:hAnsi="Times New Roman" w:cs="Times New Roman"/>
          <w:sz w:val="24"/>
          <w:szCs w:val="24"/>
          <w:lang w:val="ro-RO"/>
        </w:rPr>
        <w:t>și funcționare</w:t>
      </w:r>
      <w:r w:rsidRPr="00C75B31">
        <w:rPr>
          <w:rFonts w:ascii="Times New Roman" w:hAnsi="Times New Roman" w:cs="Times New Roman"/>
          <w:sz w:val="24"/>
          <w:szCs w:val="24"/>
          <w:lang w:val="ro-RO"/>
        </w:rPr>
        <w:t xml:space="preserve"> a - A.N.R.S.C., aprobat prin Ordinul </w:t>
      </w:r>
      <w:r w:rsidR="00CD0B61" w:rsidRPr="00C75B31">
        <w:rPr>
          <w:rFonts w:ascii="Times New Roman" w:hAnsi="Times New Roman" w:cs="Times New Roman"/>
          <w:sz w:val="24"/>
          <w:szCs w:val="24"/>
          <w:lang w:val="ro-RO"/>
        </w:rPr>
        <w:t>președintelui</w:t>
      </w:r>
      <w:r w:rsidRPr="00C75B31">
        <w:rPr>
          <w:rFonts w:ascii="Times New Roman" w:hAnsi="Times New Roman" w:cs="Times New Roman"/>
          <w:sz w:val="24"/>
          <w:szCs w:val="24"/>
          <w:lang w:val="ro-RO"/>
        </w:rPr>
        <w:t xml:space="preserve"> </w:t>
      </w:r>
      <w:r w:rsidR="00D810C3" w:rsidRPr="00C75B31">
        <w:rPr>
          <w:rFonts w:ascii="Times New Roman" w:hAnsi="Times New Roman" w:cs="Times New Roman"/>
          <w:sz w:val="24"/>
          <w:szCs w:val="24"/>
          <w:lang w:val="ro-RO"/>
        </w:rPr>
        <w:t>Autorității Naționale de Reglementare pentru Serviciile Comunitare de Utilități Publice</w:t>
      </w:r>
      <w:r w:rsidRPr="00C75B31">
        <w:rPr>
          <w:rFonts w:ascii="Times New Roman" w:hAnsi="Times New Roman" w:cs="Times New Roman"/>
          <w:sz w:val="24"/>
          <w:szCs w:val="24"/>
          <w:lang w:val="ro-RO"/>
        </w:rPr>
        <w:t xml:space="preserve"> </w:t>
      </w:r>
      <w:r w:rsidRPr="00C75B31">
        <w:rPr>
          <w:rStyle w:val="panchor"/>
          <w:rFonts w:ascii="Times New Roman" w:hAnsi="Times New Roman" w:cs="Times New Roman"/>
          <w:sz w:val="24"/>
          <w:szCs w:val="24"/>
          <w:lang w:val="ro-RO"/>
        </w:rPr>
        <w:t>nr. 22/2017, cu modificările și completările ulterioare,</w:t>
      </w:r>
    </w:p>
    <w:p w14:paraId="043FB820" w14:textId="07F20AB1" w:rsidR="00022263" w:rsidRPr="00C75B31" w:rsidRDefault="00CD0B61" w:rsidP="0047721A">
      <w:pPr>
        <w:spacing w:after="120" w:line="360" w:lineRule="auto"/>
        <w:ind w:firstLine="720"/>
        <w:jc w:val="both"/>
        <w:rPr>
          <w:rFonts w:ascii="Times New Roman" w:hAnsi="Times New Roman" w:cs="Times New Roman"/>
          <w:bCs/>
          <w:sz w:val="24"/>
          <w:szCs w:val="24"/>
          <w:lang w:val="ro-RO"/>
        </w:rPr>
      </w:pPr>
      <w:r w:rsidRPr="00C75B31">
        <w:rPr>
          <w:rFonts w:ascii="Times New Roman" w:hAnsi="Times New Roman" w:cs="Times New Roman"/>
          <w:bCs/>
          <w:sz w:val="24"/>
          <w:szCs w:val="24"/>
          <w:lang w:val="ro-RO"/>
        </w:rPr>
        <w:t>președintele</w:t>
      </w:r>
      <w:r w:rsidR="00022263" w:rsidRPr="00C75B31">
        <w:rPr>
          <w:rFonts w:ascii="Times New Roman" w:hAnsi="Times New Roman" w:cs="Times New Roman"/>
          <w:bCs/>
          <w:sz w:val="24"/>
          <w:szCs w:val="24"/>
          <w:lang w:val="ro-RO"/>
        </w:rPr>
        <w:t xml:space="preserve"> </w:t>
      </w:r>
      <w:r w:rsidRPr="00C75B31">
        <w:rPr>
          <w:rFonts w:ascii="Times New Roman" w:hAnsi="Times New Roman" w:cs="Times New Roman"/>
          <w:bCs/>
          <w:sz w:val="24"/>
          <w:szCs w:val="24"/>
          <w:lang w:val="ro-RO"/>
        </w:rPr>
        <w:t>Autorității Naționale</w:t>
      </w:r>
      <w:r w:rsidR="00022263" w:rsidRPr="00C75B31">
        <w:rPr>
          <w:rFonts w:ascii="Times New Roman" w:hAnsi="Times New Roman" w:cs="Times New Roman"/>
          <w:bCs/>
          <w:sz w:val="24"/>
          <w:szCs w:val="24"/>
          <w:lang w:val="ro-RO"/>
        </w:rPr>
        <w:t xml:space="preserve"> de Reglementare pentru Serviciile Comunitare de </w:t>
      </w:r>
      <w:r w:rsidRPr="00C75B31">
        <w:rPr>
          <w:rFonts w:ascii="Times New Roman" w:hAnsi="Times New Roman" w:cs="Times New Roman"/>
          <w:bCs/>
          <w:sz w:val="24"/>
          <w:szCs w:val="24"/>
          <w:lang w:val="ro-RO"/>
        </w:rPr>
        <w:t>Utilități</w:t>
      </w:r>
      <w:r w:rsidR="00022263" w:rsidRPr="00C75B31">
        <w:rPr>
          <w:rFonts w:ascii="Times New Roman" w:hAnsi="Times New Roman" w:cs="Times New Roman"/>
          <w:bCs/>
          <w:sz w:val="24"/>
          <w:szCs w:val="24"/>
          <w:lang w:val="ro-RO"/>
        </w:rPr>
        <w:t xml:space="preserve"> Publice emite următorul ordin:</w:t>
      </w:r>
    </w:p>
    <w:p w14:paraId="3084B650" w14:textId="77777777" w:rsidR="0047721A" w:rsidRPr="00C75B31" w:rsidRDefault="0047721A" w:rsidP="0047721A">
      <w:pPr>
        <w:spacing w:after="120" w:line="360" w:lineRule="auto"/>
        <w:ind w:firstLine="720"/>
        <w:jc w:val="both"/>
        <w:rPr>
          <w:rFonts w:ascii="Times New Roman" w:hAnsi="Times New Roman" w:cs="Times New Roman"/>
          <w:sz w:val="24"/>
          <w:szCs w:val="24"/>
          <w:lang w:val="ro-RO"/>
        </w:rPr>
      </w:pPr>
      <w:bookmarkStart w:id="2" w:name="AI"/>
      <w:r w:rsidRPr="00C75B31">
        <w:rPr>
          <w:rFonts w:ascii="Times New Roman" w:hAnsi="Times New Roman" w:cs="Times New Roman"/>
          <w:sz w:val="24"/>
          <w:szCs w:val="24"/>
          <w:lang w:val="ro-RO"/>
        </w:rPr>
        <w:t>ART. I</w:t>
      </w:r>
      <w:bookmarkStart w:id="3" w:name="REF4"/>
      <w:bookmarkEnd w:id="2"/>
      <w:bookmarkEnd w:id="3"/>
    </w:p>
    <w:p w14:paraId="6B90D69B" w14:textId="2098B7E7" w:rsidR="0047721A" w:rsidRPr="00C75B31" w:rsidRDefault="00012417" w:rsidP="0047721A">
      <w:pPr>
        <w:spacing w:after="120" w:line="360" w:lineRule="auto"/>
        <w:ind w:firstLine="720"/>
        <w:jc w:val="both"/>
        <w:rPr>
          <w:rFonts w:ascii="Times New Roman" w:hAnsi="Times New Roman" w:cs="Times New Roman"/>
          <w:bCs/>
          <w:sz w:val="24"/>
          <w:szCs w:val="24"/>
          <w:lang w:val="ro-RO"/>
        </w:rPr>
      </w:pPr>
      <w:r w:rsidRPr="00C75B31">
        <w:rPr>
          <w:rFonts w:ascii="Times New Roman" w:hAnsi="Times New Roman" w:cs="Times New Roman"/>
          <w:sz w:val="24"/>
          <w:szCs w:val="24"/>
          <w:lang w:val="ro-RO"/>
        </w:rPr>
        <w:t>Normel</w:t>
      </w:r>
      <w:r>
        <w:rPr>
          <w:rFonts w:ascii="Times New Roman" w:hAnsi="Times New Roman" w:cs="Times New Roman"/>
          <w:sz w:val="24"/>
          <w:szCs w:val="24"/>
          <w:lang w:val="ro-RO"/>
        </w:rPr>
        <w:t>e</w:t>
      </w:r>
      <w:r w:rsidRPr="00C75B31">
        <w:rPr>
          <w:rFonts w:ascii="Times New Roman" w:hAnsi="Times New Roman" w:cs="Times New Roman"/>
          <w:sz w:val="24"/>
          <w:szCs w:val="24"/>
          <w:lang w:val="ro-RO"/>
        </w:rPr>
        <w:t xml:space="preserve"> metodologice de stabilire, ajustare sau modificare a tarifelor pentru activitățile de salubrizare, precum și de calculare a tarifelor/taxelor distincte pentru gestionarea deșeurilor și a taxelor de salubrizare, </w:t>
      </w:r>
      <w:r>
        <w:rPr>
          <w:rFonts w:ascii="Times New Roman" w:hAnsi="Times New Roman" w:cs="Times New Roman"/>
          <w:sz w:val="24"/>
          <w:szCs w:val="24"/>
          <w:lang w:val="ro-RO"/>
        </w:rPr>
        <w:t xml:space="preserve">, aprobate prin </w:t>
      </w:r>
      <w:r w:rsidR="0047721A" w:rsidRPr="00C75B31">
        <w:rPr>
          <w:rStyle w:val="panchor"/>
          <w:rFonts w:ascii="Times New Roman" w:hAnsi="Times New Roman" w:cs="Times New Roman"/>
          <w:sz w:val="24"/>
          <w:szCs w:val="24"/>
          <w:lang w:val="ro-RO"/>
        </w:rPr>
        <w:t xml:space="preserve">Ordinul președintelui Autorității Naționale de Reglementare pentru </w:t>
      </w:r>
      <w:r w:rsidR="00D10A79">
        <w:rPr>
          <w:rStyle w:val="panchor"/>
          <w:rFonts w:ascii="Times New Roman" w:hAnsi="Times New Roman" w:cs="Times New Roman"/>
          <w:sz w:val="24"/>
          <w:szCs w:val="24"/>
          <w:lang w:val="ro-RO"/>
        </w:rPr>
        <w:t xml:space="preserve">Serviciile </w:t>
      </w:r>
      <w:r w:rsidR="00D10A79" w:rsidRPr="00C75B31">
        <w:rPr>
          <w:rFonts w:ascii="Times New Roman" w:hAnsi="Times New Roman" w:cs="Times New Roman"/>
          <w:sz w:val="24"/>
          <w:szCs w:val="24"/>
          <w:lang w:val="ro-RO"/>
        </w:rPr>
        <w:t>Comunitare de Utilități Publice</w:t>
      </w:r>
      <w:r w:rsidR="00D10A79">
        <w:rPr>
          <w:rFonts w:ascii="Times New Roman" w:hAnsi="Times New Roman" w:cs="Times New Roman"/>
          <w:sz w:val="24"/>
          <w:szCs w:val="24"/>
          <w:lang w:val="ro-RO"/>
        </w:rPr>
        <w:t xml:space="preserve"> </w:t>
      </w:r>
      <w:r w:rsidR="0047721A" w:rsidRPr="00C75B31">
        <w:rPr>
          <w:rStyle w:val="panchor"/>
          <w:rFonts w:ascii="Times New Roman" w:hAnsi="Times New Roman" w:cs="Times New Roman"/>
          <w:sz w:val="24"/>
          <w:szCs w:val="24"/>
          <w:lang w:val="ro-RO"/>
        </w:rPr>
        <w:t>nr. 640/2022</w:t>
      </w:r>
      <w:r w:rsidR="0047721A" w:rsidRPr="00C75B31">
        <w:rPr>
          <w:rFonts w:ascii="Times New Roman" w:hAnsi="Times New Roman" w:cs="Times New Roman"/>
          <w:sz w:val="24"/>
          <w:szCs w:val="24"/>
          <w:lang w:val="ro-RO"/>
        </w:rPr>
        <w:t> </w:t>
      </w:r>
      <w:r w:rsidR="00D810C3" w:rsidRPr="00C75B31">
        <w:rPr>
          <w:rFonts w:ascii="Times New Roman" w:hAnsi="Times New Roman" w:cs="Times New Roman"/>
          <w:sz w:val="24"/>
          <w:szCs w:val="24"/>
          <w:lang w:val="ro-RO"/>
        </w:rPr>
        <w:t>publicat în Monitorul Oficial al României, Partea I, nr. 984 din 11 octombrie 2022</w:t>
      </w:r>
      <w:bookmarkStart w:id="4" w:name="REF5"/>
      <w:bookmarkEnd w:id="4"/>
      <w:r w:rsidR="0047721A" w:rsidRPr="00C75B31">
        <w:rPr>
          <w:rFonts w:ascii="Times New Roman" w:hAnsi="Times New Roman" w:cs="Times New Roman"/>
          <w:sz w:val="24"/>
          <w:szCs w:val="24"/>
          <w:lang w:val="ro-RO"/>
        </w:rPr>
        <w:t>, se modifică și se completează după cum urmează:</w:t>
      </w:r>
    </w:p>
    <w:p w14:paraId="6D3910F7" w14:textId="59DC5300" w:rsidR="00CD0B61" w:rsidRPr="00C75B31" w:rsidRDefault="00012417" w:rsidP="00C75B31">
      <w:pPr>
        <w:pStyle w:val="ListParagraph"/>
        <w:numPr>
          <w:ilvl w:val="0"/>
          <w:numId w:val="2"/>
        </w:numPr>
        <w:tabs>
          <w:tab w:val="left" w:pos="1134"/>
          <w:tab w:val="left" w:pos="1276"/>
        </w:tabs>
        <w:spacing w:before="120" w:after="120" w:line="36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CD0B61" w:rsidRPr="00C75B31">
        <w:rPr>
          <w:rFonts w:ascii="Times New Roman" w:hAnsi="Times New Roman" w:cs="Times New Roman"/>
          <w:sz w:val="24"/>
          <w:szCs w:val="24"/>
          <w:lang w:val="ro-RO"/>
        </w:rPr>
        <w:t xml:space="preserve">a articolul 11, după alineatul (3) se introduc </w:t>
      </w:r>
      <w:r w:rsidR="00D810C3">
        <w:rPr>
          <w:rFonts w:ascii="Times New Roman" w:hAnsi="Times New Roman" w:cs="Times New Roman"/>
          <w:sz w:val="24"/>
          <w:szCs w:val="24"/>
          <w:lang w:val="ro-RO"/>
        </w:rPr>
        <w:t>patru</w:t>
      </w:r>
      <w:r w:rsidR="00CD0B61" w:rsidRPr="00C75B31">
        <w:rPr>
          <w:rFonts w:ascii="Times New Roman" w:hAnsi="Times New Roman" w:cs="Times New Roman"/>
          <w:sz w:val="24"/>
          <w:szCs w:val="24"/>
          <w:lang w:val="ro-RO"/>
        </w:rPr>
        <w:t xml:space="preserve"> noi alineate, alineatele (4) - (</w:t>
      </w:r>
      <w:r>
        <w:rPr>
          <w:rFonts w:ascii="Times New Roman" w:hAnsi="Times New Roman" w:cs="Times New Roman"/>
          <w:sz w:val="24"/>
          <w:szCs w:val="24"/>
          <w:lang w:val="ro-RO"/>
        </w:rPr>
        <w:t>7</w:t>
      </w:r>
      <w:r w:rsidR="00CD0B61" w:rsidRPr="00C75B31">
        <w:rPr>
          <w:rFonts w:ascii="Times New Roman" w:hAnsi="Times New Roman" w:cs="Times New Roman"/>
          <w:sz w:val="24"/>
          <w:szCs w:val="24"/>
          <w:lang w:val="ro-RO"/>
        </w:rPr>
        <w:t>) care vor avea următorul cuprins:</w:t>
      </w:r>
    </w:p>
    <w:p w14:paraId="414CBB6E" w14:textId="32FE5235" w:rsidR="00CD0B61" w:rsidRPr="00C75B31" w:rsidRDefault="00CD0B61" w:rsidP="00CD0B61">
      <w:pPr>
        <w:pStyle w:val="ListParagraph"/>
        <w:numPr>
          <w:ilvl w:val="0"/>
          <w:numId w:val="3"/>
        </w:numPr>
        <w:tabs>
          <w:tab w:val="left" w:pos="1260"/>
        </w:tabs>
        <w:spacing w:before="120" w:after="120" w:line="360" w:lineRule="auto"/>
        <w:ind w:left="0" w:firstLine="900"/>
        <w:jc w:val="both"/>
        <w:rPr>
          <w:rFonts w:ascii="Times New Roman" w:hAnsi="Times New Roman" w:cs="Times New Roman"/>
          <w:sz w:val="24"/>
          <w:szCs w:val="24"/>
          <w:lang w:val="ro-RO"/>
        </w:rPr>
      </w:pPr>
      <w:r w:rsidRPr="00C75B31">
        <w:rPr>
          <w:rFonts w:ascii="Times New Roman" w:hAnsi="Times New Roman" w:cs="Times New Roman"/>
          <w:sz w:val="24"/>
          <w:szCs w:val="24"/>
          <w:lang w:val="ro-RO"/>
        </w:rPr>
        <w:t xml:space="preserve">În situația în care autospecialele/utilajele destinate pentru deszăpezirea și combaterea poleiului sunt monitorizare prin GPS, tarifele pentru operațiunile mecanizate de curățat zăpada și de împrăștiat material antiderapant prevăzute la alin. (1) lit. b) pct. (i), (ii), (v), (vi), (viii) și (x)  pot fi stabilite </w:t>
      </w:r>
      <w:r w:rsidR="00507E59" w:rsidRPr="004228B1">
        <w:rPr>
          <w:rFonts w:ascii="Times New Roman" w:hAnsi="Times New Roman" w:cs="Times New Roman"/>
          <w:sz w:val="24"/>
          <w:szCs w:val="24"/>
          <w:lang w:val="ro-RO"/>
        </w:rPr>
        <w:t>în lei/trecere sau</w:t>
      </w:r>
      <w:r w:rsidRPr="004228B1">
        <w:rPr>
          <w:rFonts w:ascii="Times New Roman" w:hAnsi="Times New Roman" w:cs="Times New Roman"/>
          <w:sz w:val="24"/>
          <w:szCs w:val="24"/>
          <w:lang w:val="ro-RO"/>
        </w:rPr>
        <w:t xml:space="preserve"> </w:t>
      </w:r>
      <w:r w:rsidRPr="00C75B31">
        <w:rPr>
          <w:rFonts w:ascii="Times New Roman" w:hAnsi="Times New Roman" w:cs="Times New Roman"/>
          <w:sz w:val="24"/>
          <w:szCs w:val="24"/>
          <w:lang w:val="ro-RO"/>
        </w:rPr>
        <w:t>în lei/oră acțiune per fiecare utilaj în parte. Memoriul tehnico-economic justificativ prevăzut în anexa nr. 4 la prezentele norme metodologice se adaptează în mod corespunzător.</w:t>
      </w:r>
    </w:p>
    <w:p w14:paraId="37BF53C9" w14:textId="11DEF2A8" w:rsidR="00CD0B61" w:rsidRPr="00256CE7" w:rsidRDefault="000A4688" w:rsidP="004A77E8">
      <w:pPr>
        <w:pStyle w:val="ListParagraph"/>
        <w:tabs>
          <w:tab w:val="left" w:pos="1260"/>
        </w:tabs>
        <w:spacing w:before="120" w:after="120" w:line="360" w:lineRule="auto"/>
        <w:ind w:left="0" w:firstLine="900"/>
        <w:jc w:val="both"/>
        <w:rPr>
          <w:rFonts w:ascii="Times New Roman" w:hAnsi="Times New Roman" w:cs="Times New Roman"/>
          <w:sz w:val="24"/>
          <w:szCs w:val="24"/>
          <w:lang w:val="ro-RO"/>
        </w:rPr>
      </w:pPr>
      <w:r w:rsidRPr="00256CE7">
        <w:rPr>
          <w:rFonts w:ascii="Times New Roman" w:hAnsi="Times New Roman" w:cs="Times New Roman"/>
          <w:sz w:val="24"/>
          <w:szCs w:val="24"/>
          <w:lang w:val="ro-RO"/>
        </w:rPr>
        <w:t>(5)</w:t>
      </w:r>
      <w:r w:rsidR="00CB63F8" w:rsidRPr="00256CE7">
        <w:rPr>
          <w:rFonts w:ascii="Times New Roman" w:hAnsi="Times New Roman" w:cs="Times New Roman"/>
          <w:sz w:val="24"/>
          <w:szCs w:val="24"/>
          <w:lang w:val="ro-RO"/>
        </w:rPr>
        <w:t xml:space="preserve"> </w:t>
      </w:r>
      <w:r w:rsidR="00FD1B04" w:rsidRPr="00256CE7">
        <w:rPr>
          <w:rFonts w:ascii="Times New Roman" w:hAnsi="Times New Roman" w:cs="Times New Roman"/>
          <w:sz w:val="24"/>
          <w:szCs w:val="24"/>
          <w:lang w:val="ro-RO"/>
        </w:rPr>
        <w:t xml:space="preserve">Autoritățile deliberative ale unităților/subdiviziunilor administrativ-teritoriale </w:t>
      </w:r>
      <w:r w:rsidR="004A1553" w:rsidRPr="00256CE7">
        <w:rPr>
          <w:rFonts w:ascii="Times New Roman" w:hAnsi="Times New Roman" w:cs="Times New Roman"/>
          <w:sz w:val="24"/>
          <w:szCs w:val="24"/>
          <w:lang w:val="ro-RO"/>
        </w:rPr>
        <w:t xml:space="preserve">au obligația să </w:t>
      </w:r>
      <w:r w:rsidR="00FD1B04" w:rsidRPr="00256CE7">
        <w:rPr>
          <w:rFonts w:ascii="Times New Roman" w:hAnsi="Times New Roman" w:cs="Times New Roman"/>
          <w:sz w:val="24"/>
          <w:szCs w:val="24"/>
          <w:lang w:val="ro-RO"/>
        </w:rPr>
        <w:t>aprob</w:t>
      </w:r>
      <w:r w:rsidR="004A1553" w:rsidRPr="00256CE7">
        <w:rPr>
          <w:rFonts w:ascii="Times New Roman" w:hAnsi="Times New Roman" w:cs="Times New Roman"/>
          <w:sz w:val="24"/>
          <w:szCs w:val="24"/>
          <w:lang w:val="ro-RO"/>
        </w:rPr>
        <w:t>e</w:t>
      </w:r>
      <w:r w:rsidR="00FD1B04" w:rsidRPr="00256CE7">
        <w:rPr>
          <w:rFonts w:ascii="Times New Roman" w:hAnsi="Times New Roman" w:cs="Times New Roman"/>
          <w:sz w:val="24"/>
          <w:szCs w:val="24"/>
          <w:lang w:val="ro-RO"/>
        </w:rPr>
        <w:t xml:space="preserve"> un tarif în lei/oră a</w:t>
      </w:r>
      <w:r w:rsidR="007F23C8" w:rsidRPr="00256CE7">
        <w:rPr>
          <w:rFonts w:ascii="Times New Roman" w:hAnsi="Times New Roman" w:cs="Times New Roman"/>
          <w:sz w:val="24"/>
          <w:szCs w:val="24"/>
          <w:lang w:val="ro-RO"/>
        </w:rPr>
        <w:t>sigurare</w:t>
      </w:r>
      <w:r w:rsidR="00FD1B04" w:rsidRPr="00256CE7">
        <w:rPr>
          <w:rFonts w:ascii="Times New Roman" w:hAnsi="Times New Roman" w:cs="Times New Roman"/>
          <w:sz w:val="24"/>
          <w:szCs w:val="24"/>
          <w:lang w:val="ro-RO"/>
        </w:rPr>
        <w:t xml:space="preserve"> logistică și mobilizare, </w:t>
      </w:r>
      <w:r w:rsidR="004A77E8" w:rsidRPr="00256CE7">
        <w:rPr>
          <w:rFonts w:ascii="Times New Roman" w:hAnsi="Times New Roman" w:cs="Times New Roman"/>
          <w:sz w:val="24"/>
          <w:szCs w:val="24"/>
          <w:lang w:val="ro-RO"/>
        </w:rPr>
        <w:t>în cazul</w:t>
      </w:r>
      <w:r w:rsidR="00FD1B04" w:rsidRPr="00256CE7">
        <w:rPr>
          <w:rFonts w:ascii="Times New Roman" w:hAnsi="Times New Roman" w:cs="Times New Roman"/>
          <w:sz w:val="24"/>
          <w:szCs w:val="24"/>
          <w:lang w:val="ro-RO"/>
        </w:rPr>
        <w:t xml:space="preserve"> în care</w:t>
      </w:r>
      <w:r w:rsidR="004A1553" w:rsidRPr="00256CE7">
        <w:rPr>
          <w:rFonts w:ascii="Times New Roman" w:hAnsi="Times New Roman" w:cs="Times New Roman"/>
          <w:sz w:val="24"/>
          <w:szCs w:val="24"/>
          <w:lang w:val="ro-RO"/>
        </w:rPr>
        <w:t xml:space="preserve"> </w:t>
      </w:r>
      <w:r w:rsidR="004A77E8" w:rsidRPr="00256CE7">
        <w:rPr>
          <w:rFonts w:ascii="Times New Roman" w:hAnsi="Times New Roman" w:cs="Times New Roman"/>
          <w:sz w:val="24"/>
          <w:szCs w:val="24"/>
          <w:lang w:val="ro-RO"/>
        </w:rPr>
        <w:t>program</w:t>
      </w:r>
      <w:r w:rsidR="00FD1B04" w:rsidRPr="00256CE7">
        <w:rPr>
          <w:rFonts w:ascii="Times New Roman" w:hAnsi="Times New Roman" w:cs="Times New Roman"/>
          <w:sz w:val="24"/>
          <w:szCs w:val="24"/>
          <w:lang w:val="ro-RO"/>
        </w:rPr>
        <w:t>ele</w:t>
      </w:r>
      <w:r w:rsidR="004A77E8" w:rsidRPr="00256CE7">
        <w:rPr>
          <w:rFonts w:ascii="Times New Roman" w:hAnsi="Times New Roman" w:cs="Times New Roman"/>
          <w:sz w:val="24"/>
          <w:szCs w:val="24"/>
          <w:lang w:val="ro-RO"/>
        </w:rPr>
        <w:t xml:space="preserve"> de pregătire pe timp de iarnă </w:t>
      </w:r>
      <w:r w:rsidR="00FD1B04" w:rsidRPr="00256CE7">
        <w:rPr>
          <w:rFonts w:ascii="Times New Roman" w:hAnsi="Times New Roman" w:cs="Times New Roman"/>
          <w:sz w:val="24"/>
          <w:szCs w:val="24"/>
          <w:lang w:val="ro-RO"/>
        </w:rPr>
        <w:t>aprobate</w:t>
      </w:r>
      <w:r w:rsidRPr="00256CE7">
        <w:rPr>
          <w:rFonts w:ascii="Times New Roman" w:hAnsi="Times New Roman" w:cs="Times New Roman"/>
          <w:sz w:val="24"/>
          <w:szCs w:val="24"/>
          <w:lang w:val="ro-RO"/>
        </w:rPr>
        <w:t>,</w:t>
      </w:r>
      <w:r w:rsidR="00095647" w:rsidRPr="00256CE7">
        <w:rPr>
          <w:rFonts w:ascii="Times New Roman" w:hAnsi="Times New Roman" w:cs="Times New Roman"/>
          <w:sz w:val="24"/>
          <w:szCs w:val="24"/>
          <w:lang w:val="ro-RO"/>
        </w:rPr>
        <w:t xml:space="preserve"> </w:t>
      </w:r>
      <w:r w:rsidR="00CB6E89">
        <w:rPr>
          <w:rFonts w:ascii="Times New Roman" w:hAnsi="Times New Roman" w:cs="Times New Roman"/>
          <w:sz w:val="24"/>
          <w:szCs w:val="24"/>
          <w:lang w:val="ro-RO"/>
        </w:rPr>
        <w:t>prevăd</w:t>
      </w:r>
      <w:r w:rsidR="00095647" w:rsidRPr="00256CE7">
        <w:rPr>
          <w:rFonts w:ascii="Times New Roman" w:hAnsi="Times New Roman" w:cs="Times New Roman"/>
          <w:sz w:val="24"/>
          <w:szCs w:val="24"/>
          <w:lang w:val="ro-RO"/>
        </w:rPr>
        <w:t xml:space="preserve"> c</w:t>
      </w:r>
      <w:r w:rsidR="00CB6E89">
        <w:rPr>
          <w:rFonts w:ascii="Times New Roman" w:hAnsi="Times New Roman" w:cs="Times New Roman"/>
          <w:sz w:val="24"/>
          <w:szCs w:val="24"/>
          <w:lang w:val="ro-RO"/>
        </w:rPr>
        <w:t>ă</w:t>
      </w:r>
      <w:r w:rsidR="004A77E8" w:rsidRPr="00256CE7">
        <w:rPr>
          <w:rFonts w:ascii="Times New Roman" w:hAnsi="Times New Roman" w:cs="Times New Roman"/>
          <w:sz w:val="24"/>
          <w:szCs w:val="24"/>
          <w:lang w:val="ro-RO"/>
        </w:rPr>
        <w:t xml:space="preserve"> pentru o anumită perioadă de timp sau pentru întreg sezonul de iarnă, operatorul </w:t>
      </w:r>
      <w:r w:rsidR="00095647" w:rsidRPr="00256CE7">
        <w:rPr>
          <w:rFonts w:ascii="Times New Roman" w:hAnsi="Times New Roman" w:cs="Times New Roman"/>
          <w:sz w:val="24"/>
          <w:szCs w:val="24"/>
          <w:lang w:val="ro-RO"/>
        </w:rPr>
        <w:t xml:space="preserve">să </w:t>
      </w:r>
      <w:r w:rsidR="00095647" w:rsidRPr="00256CE7">
        <w:rPr>
          <w:rFonts w:ascii="Times New Roman" w:hAnsi="Times New Roman" w:cs="Times New Roman"/>
          <w:sz w:val="24"/>
          <w:szCs w:val="24"/>
          <w:lang w:val="ro-RO"/>
        </w:rPr>
        <w:lastRenderedPageBreak/>
        <w:t xml:space="preserve">pună la dispoziție și </w:t>
      </w:r>
      <w:r w:rsidR="004A77E8" w:rsidRPr="00256CE7">
        <w:rPr>
          <w:rFonts w:ascii="Times New Roman" w:hAnsi="Times New Roman" w:cs="Times New Roman"/>
          <w:sz w:val="24"/>
          <w:szCs w:val="24"/>
          <w:lang w:val="ro-RO"/>
        </w:rPr>
        <w:t>să afecteze, exclusiv pentru programul de iarnă și în regim de mobilizare non stop, autospeciale și utilaje specifice operațiunilor de deszăpezire și combatere polei</w:t>
      </w:r>
      <w:r w:rsidR="00095647" w:rsidRPr="00256CE7">
        <w:rPr>
          <w:rFonts w:ascii="Times New Roman" w:hAnsi="Times New Roman" w:cs="Times New Roman"/>
          <w:sz w:val="24"/>
          <w:szCs w:val="24"/>
          <w:lang w:val="ro-RO"/>
        </w:rPr>
        <w:t>,</w:t>
      </w:r>
      <w:r w:rsidR="00FC06D4" w:rsidRPr="00256CE7">
        <w:rPr>
          <w:rFonts w:ascii="Times New Roman" w:hAnsi="Times New Roman" w:cs="Times New Roman"/>
          <w:sz w:val="24"/>
          <w:szCs w:val="24"/>
          <w:lang w:val="ro-RO"/>
        </w:rPr>
        <w:t xml:space="preserve"> </w:t>
      </w:r>
      <w:r w:rsidRPr="00256CE7">
        <w:rPr>
          <w:rFonts w:ascii="Times New Roman" w:hAnsi="Times New Roman" w:cs="Times New Roman"/>
          <w:sz w:val="24"/>
          <w:szCs w:val="24"/>
          <w:lang w:val="ro-RO"/>
        </w:rPr>
        <w:t xml:space="preserve">individualizate/identificate și monitorizare prin GPS, </w:t>
      </w:r>
      <w:r w:rsidR="00FC06D4" w:rsidRPr="00256CE7">
        <w:rPr>
          <w:rFonts w:ascii="Times New Roman" w:hAnsi="Times New Roman" w:cs="Times New Roman"/>
          <w:sz w:val="24"/>
          <w:szCs w:val="24"/>
          <w:lang w:val="ro-RO"/>
        </w:rPr>
        <w:t xml:space="preserve">precum și facilitățile logistice, </w:t>
      </w:r>
      <w:r w:rsidR="00095647" w:rsidRPr="00256CE7">
        <w:rPr>
          <w:rFonts w:ascii="Times New Roman" w:hAnsi="Times New Roman" w:cs="Times New Roman"/>
          <w:sz w:val="24"/>
          <w:szCs w:val="24"/>
          <w:lang w:val="ro-RO"/>
        </w:rPr>
        <w:t>personalul deservent, inclusiv pentru activitățile suport</w:t>
      </w:r>
      <w:r w:rsidR="00CB4548">
        <w:rPr>
          <w:rFonts w:ascii="Times New Roman" w:hAnsi="Times New Roman" w:cs="Times New Roman"/>
          <w:sz w:val="24"/>
          <w:szCs w:val="24"/>
          <w:lang w:val="ro-RO"/>
        </w:rPr>
        <w:t>,</w:t>
      </w:r>
      <w:r w:rsidR="00095647" w:rsidRPr="00256CE7">
        <w:rPr>
          <w:rFonts w:ascii="Times New Roman" w:hAnsi="Times New Roman" w:cs="Times New Roman"/>
          <w:sz w:val="24"/>
          <w:szCs w:val="24"/>
          <w:lang w:val="ro-RO"/>
        </w:rPr>
        <w:t xml:space="preserve"> aferente</w:t>
      </w:r>
      <w:r w:rsidR="00CB4548">
        <w:rPr>
          <w:rFonts w:ascii="Times New Roman" w:hAnsi="Times New Roman" w:cs="Times New Roman"/>
          <w:sz w:val="24"/>
          <w:szCs w:val="24"/>
          <w:lang w:val="ro-RO"/>
        </w:rPr>
        <w:t xml:space="preserve"> perioadei respective</w:t>
      </w:r>
      <w:r w:rsidR="008A0A28" w:rsidRPr="00256CE7">
        <w:rPr>
          <w:rFonts w:ascii="Times New Roman" w:hAnsi="Times New Roman" w:cs="Times New Roman"/>
          <w:sz w:val="24"/>
          <w:szCs w:val="24"/>
          <w:lang w:val="ro-RO"/>
        </w:rPr>
        <w:t>.</w:t>
      </w:r>
      <w:r w:rsidRPr="00256CE7">
        <w:rPr>
          <w:rFonts w:ascii="Times New Roman" w:hAnsi="Times New Roman" w:cs="Times New Roman"/>
          <w:sz w:val="24"/>
          <w:szCs w:val="24"/>
          <w:lang w:val="ro-RO"/>
        </w:rPr>
        <w:t xml:space="preserve"> Memoriul tehnico-economic justificativ prevăzut în anexa nr. 4 la prezentele norme metodologice se adaptează în mod corespunzător, prin luarea în considerare numai a cheltuielilor </w:t>
      </w:r>
      <w:r w:rsidR="00CB4548">
        <w:rPr>
          <w:rFonts w:ascii="Times New Roman" w:hAnsi="Times New Roman" w:cs="Times New Roman"/>
          <w:sz w:val="24"/>
          <w:szCs w:val="24"/>
          <w:lang w:val="ro-RO"/>
        </w:rPr>
        <w:t>pentru</w:t>
      </w:r>
      <w:r w:rsidRPr="00256CE7">
        <w:rPr>
          <w:rFonts w:ascii="Times New Roman" w:hAnsi="Times New Roman" w:cs="Times New Roman"/>
          <w:sz w:val="24"/>
          <w:szCs w:val="24"/>
          <w:lang w:val="ro-RO"/>
        </w:rPr>
        <w:t xml:space="preserve"> resursel</w:t>
      </w:r>
      <w:r w:rsidR="00CB4548">
        <w:rPr>
          <w:rFonts w:ascii="Times New Roman" w:hAnsi="Times New Roman" w:cs="Times New Roman"/>
          <w:sz w:val="24"/>
          <w:szCs w:val="24"/>
          <w:lang w:val="ro-RO"/>
        </w:rPr>
        <w:t>e</w:t>
      </w:r>
      <w:r w:rsidRPr="00256CE7">
        <w:rPr>
          <w:rFonts w:ascii="Times New Roman" w:hAnsi="Times New Roman" w:cs="Times New Roman"/>
          <w:sz w:val="24"/>
          <w:szCs w:val="24"/>
          <w:lang w:val="ro-RO"/>
        </w:rPr>
        <w:t xml:space="preserve"> </w:t>
      </w:r>
      <w:r w:rsidR="00CB4548">
        <w:rPr>
          <w:rFonts w:ascii="Times New Roman" w:hAnsi="Times New Roman" w:cs="Times New Roman"/>
          <w:sz w:val="24"/>
          <w:szCs w:val="24"/>
          <w:lang w:val="ro-RO"/>
        </w:rPr>
        <w:t>alocate</w:t>
      </w:r>
      <w:r w:rsidRPr="00256CE7">
        <w:rPr>
          <w:rFonts w:ascii="Times New Roman" w:hAnsi="Times New Roman" w:cs="Times New Roman"/>
          <w:sz w:val="24"/>
          <w:szCs w:val="24"/>
          <w:lang w:val="ro-RO"/>
        </w:rPr>
        <w:t>.</w:t>
      </w:r>
    </w:p>
    <w:p w14:paraId="41FE2448" w14:textId="7663BD8A" w:rsidR="00CD0B61" w:rsidRDefault="00CD0B61" w:rsidP="00CD0B61">
      <w:pPr>
        <w:pStyle w:val="ListParagraph"/>
        <w:numPr>
          <w:ilvl w:val="0"/>
          <w:numId w:val="3"/>
        </w:numPr>
        <w:tabs>
          <w:tab w:val="left" w:pos="1260"/>
        </w:tabs>
        <w:spacing w:before="120" w:after="120" w:line="360" w:lineRule="auto"/>
        <w:ind w:left="0" w:firstLine="900"/>
        <w:jc w:val="both"/>
        <w:rPr>
          <w:rFonts w:ascii="Times New Roman" w:hAnsi="Times New Roman" w:cs="Times New Roman"/>
          <w:sz w:val="24"/>
          <w:szCs w:val="24"/>
          <w:lang w:val="ro-RO"/>
        </w:rPr>
      </w:pPr>
      <w:r w:rsidRPr="00C75B31">
        <w:rPr>
          <w:rFonts w:ascii="Times New Roman" w:hAnsi="Times New Roman" w:cs="Times New Roman"/>
          <w:sz w:val="24"/>
          <w:szCs w:val="24"/>
          <w:lang w:val="ro-RO"/>
        </w:rPr>
        <w:t xml:space="preserve">Tariful </w:t>
      </w:r>
      <w:r w:rsidR="007F23C8">
        <w:rPr>
          <w:rFonts w:ascii="Times New Roman" w:hAnsi="Times New Roman" w:cs="Times New Roman"/>
          <w:sz w:val="24"/>
          <w:szCs w:val="24"/>
          <w:lang w:val="ro-RO"/>
        </w:rPr>
        <w:t xml:space="preserve">în lei/oră asigurare logistică și </w:t>
      </w:r>
      <w:r w:rsidRPr="00C75B31">
        <w:rPr>
          <w:rFonts w:ascii="Times New Roman" w:hAnsi="Times New Roman" w:cs="Times New Roman"/>
          <w:sz w:val="24"/>
          <w:szCs w:val="24"/>
          <w:lang w:val="ro-RO"/>
        </w:rPr>
        <w:t>mobilizare prevăzut la alin. (5) nu se facturează pe perioada prestării efective a operațiunilor de deszăpezire și combatere polei, în care se aplică tariful în lei/mp</w:t>
      </w:r>
      <w:r w:rsidR="00E026C1">
        <w:rPr>
          <w:rFonts w:ascii="Times New Roman" w:hAnsi="Times New Roman" w:cs="Times New Roman"/>
          <w:sz w:val="24"/>
          <w:szCs w:val="24"/>
          <w:lang w:val="ro-RO"/>
        </w:rPr>
        <w:t xml:space="preserve">, </w:t>
      </w:r>
      <w:r w:rsidR="00E026C1" w:rsidRPr="004228B1">
        <w:rPr>
          <w:rFonts w:ascii="Times New Roman" w:hAnsi="Times New Roman" w:cs="Times New Roman"/>
          <w:sz w:val="24"/>
          <w:szCs w:val="24"/>
          <w:lang w:val="ro-RO"/>
        </w:rPr>
        <w:t>lei/trecere</w:t>
      </w:r>
      <w:r w:rsidRPr="004228B1">
        <w:rPr>
          <w:rFonts w:ascii="Times New Roman" w:hAnsi="Times New Roman" w:cs="Times New Roman"/>
          <w:sz w:val="24"/>
          <w:szCs w:val="24"/>
          <w:lang w:val="ro-RO"/>
        </w:rPr>
        <w:t xml:space="preserve"> </w:t>
      </w:r>
      <w:r w:rsidRPr="00C75B31">
        <w:rPr>
          <w:rFonts w:ascii="Times New Roman" w:hAnsi="Times New Roman" w:cs="Times New Roman"/>
          <w:sz w:val="24"/>
          <w:szCs w:val="24"/>
          <w:lang w:val="ro-RO"/>
        </w:rPr>
        <w:t>sau lei/oră acțiune</w:t>
      </w:r>
      <w:r w:rsidR="00EA3CF5">
        <w:rPr>
          <w:rFonts w:ascii="Times New Roman" w:hAnsi="Times New Roman" w:cs="Times New Roman"/>
          <w:sz w:val="24"/>
          <w:szCs w:val="24"/>
          <w:lang w:val="ro-RO"/>
        </w:rPr>
        <w:t>, după caz</w:t>
      </w:r>
      <w:r w:rsidRPr="00C75B31">
        <w:rPr>
          <w:rFonts w:ascii="Times New Roman" w:hAnsi="Times New Roman" w:cs="Times New Roman"/>
          <w:sz w:val="24"/>
          <w:szCs w:val="24"/>
          <w:lang w:val="ro-RO"/>
        </w:rPr>
        <w:t>.</w:t>
      </w:r>
    </w:p>
    <w:p w14:paraId="13F35AAC" w14:textId="21C1211B" w:rsidR="007971D5" w:rsidRPr="00C75B31" w:rsidRDefault="007971D5" w:rsidP="00CD0B61">
      <w:pPr>
        <w:pStyle w:val="ListParagraph"/>
        <w:numPr>
          <w:ilvl w:val="0"/>
          <w:numId w:val="3"/>
        </w:numPr>
        <w:tabs>
          <w:tab w:val="left" w:pos="1260"/>
        </w:tabs>
        <w:spacing w:before="120" w:after="120" w:line="36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Pentru stabilirea tarifelor în unitățile de măsură prevăzut la alin. (4) și (5) se aplică în mod corespunzător prevederile art. 32 din prezentele norme metodologice.</w:t>
      </w:r>
    </w:p>
    <w:p w14:paraId="4DC2A4F7" w14:textId="3D456CE7" w:rsidR="00CD0B61" w:rsidRPr="00C75B31" w:rsidRDefault="00012417" w:rsidP="00CD0B61">
      <w:pPr>
        <w:pStyle w:val="ListParagraph"/>
        <w:numPr>
          <w:ilvl w:val="0"/>
          <w:numId w:val="2"/>
        </w:numPr>
        <w:tabs>
          <w:tab w:val="left" w:pos="360"/>
          <w:tab w:val="left" w:pos="540"/>
          <w:tab w:val="left" w:pos="1260"/>
          <w:tab w:val="left" w:pos="1350"/>
          <w:tab w:val="left" w:pos="1440"/>
          <w:tab w:val="left" w:pos="1620"/>
        </w:tabs>
        <w:spacing w:before="120" w:after="0" w:line="36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CD0B61" w:rsidRPr="00C75B31">
        <w:rPr>
          <w:rFonts w:ascii="Times New Roman" w:hAnsi="Times New Roman" w:cs="Times New Roman"/>
          <w:sz w:val="24"/>
          <w:szCs w:val="24"/>
          <w:lang w:val="ro-RO"/>
        </w:rPr>
        <w:t>a articolul 12 alineatul (1) litera a), după punctul (vii) se introduce un nou punct, punctul (viii) care va avea următorul cuprins:</w:t>
      </w:r>
    </w:p>
    <w:p w14:paraId="3F3F6428" w14:textId="6E4D286B" w:rsidR="00CD0B61" w:rsidRPr="00C75B31" w:rsidRDefault="00CD0B61" w:rsidP="00CD0B61">
      <w:pPr>
        <w:pStyle w:val="ListParagraph"/>
        <w:numPr>
          <w:ilvl w:val="0"/>
          <w:numId w:val="5"/>
        </w:numPr>
        <w:tabs>
          <w:tab w:val="left" w:pos="360"/>
          <w:tab w:val="left" w:pos="540"/>
          <w:tab w:val="left" w:pos="1260"/>
          <w:tab w:val="left" w:pos="1350"/>
          <w:tab w:val="left" w:pos="1440"/>
        </w:tabs>
        <w:spacing w:before="120" w:after="0" w:line="360" w:lineRule="auto"/>
        <w:jc w:val="both"/>
        <w:rPr>
          <w:rFonts w:ascii="Times New Roman" w:hAnsi="Times New Roman" w:cs="Times New Roman"/>
          <w:sz w:val="24"/>
          <w:szCs w:val="24"/>
          <w:lang w:val="ro-RO"/>
        </w:rPr>
      </w:pPr>
      <w:r w:rsidRPr="00C75B31">
        <w:rPr>
          <w:rFonts w:ascii="Times New Roman" w:hAnsi="Times New Roman" w:cs="Times New Roman"/>
          <w:sz w:val="24"/>
          <w:szCs w:val="24"/>
          <w:shd w:val="clear" w:color="auto" w:fill="FFFFFF"/>
          <w:lang w:val="ro-RO"/>
        </w:rPr>
        <w:t>tarif dezinsecție terenuri publice</w:t>
      </w:r>
      <w:r w:rsidR="00884523">
        <w:rPr>
          <w:rFonts w:ascii="Times New Roman" w:hAnsi="Times New Roman" w:cs="Times New Roman"/>
          <w:sz w:val="24"/>
          <w:szCs w:val="24"/>
          <w:shd w:val="clear" w:color="auto" w:fill="FFFFFF"/>
          <w:lang w:val="ro-RO"/>
        </w:rPr>
        <w:t xml:space="preserve">, inclusiv terenuri </w:t>
      </w:r>
      <w:r w:rsidRPr="00C75B31">
        <w:rPr>
          <w:rFonts w:ascii="Times New Roman" w:hAnsi="Times New Roman" w:cs="Times New Roman"/>
          <w:sz w:val="24"/>
          <w:szCs w:val="24"/>
          <w:shd w:val="clear" w:color="auto" w:fill="FFFFFF"/>
          <w:lang w:val="ro-RO"/>
        </w:rPr>
        <w:t>private</w:t>
      </w:r>
      <w:r w:rsidR="00884523">
        <w:rPr>
          <w:rFonts w:ascii="Times New Roman" w:hAnsi="Times New Roman" w:cs="Times New Roman"/>
          <w:sz w:val="24"/>
          <w:szCs w:val="24"/>
          <w:shd w:val="clear" w:color="auto" w:fill="FFFFFF"/>
          <w:lang w:val="ro-RO"/>
        </w:rPr>
        <w:t xml:space="preserve"> ale persoanelor fizice și juridice,</w:t>
      </w:r>
      <w:r w:rsidRPr="00C75B31">
        <w:rPr>
          <w:rFonts w:ascii="Times New Roman" w:hAnsi="Times New Roman" w:cs="Times New Roman"/>
          <w:sz w:val="24"/>
          <w:szCs w:val="24"/>
          <w:shd w:val="clear" w:color="auto" w:fill="FFFFFF"/>
          <w:lang w:val="ro-RO"/>
        </w:rPr>
        <w:t xml:space="preserve"> </w:t>
      </w:r>
      <w:r w:rsidR="000508AC">
        <w:rPr>
          <w:rFonts w:ascii="Times New Roman" w:hAnsi="Times New Roman" w:cs="Times New Roman"/>
          <w:sz w:val="24"/>
          <w:szCs w:val="24"/>
          <w:shd w:val="clear" w:color="auto" w:fill="FFFFFF"/>
          <w:lang w:val="ro-RO"/>
        </w:rPr>
        <w:t>afectate</w:t>
      </w:r>
      <w:r w:rsidRPr="00C75B31">
        <w:rPr>
          <w:rFonts w:ascii="Times New Roman" w:hAnsi="Times New Roman" w:cs="Times New Roman"/>
          <w:sz w:val="24"/>
          <w:szCs w:val="24"/>
          <w:shd w:val="clear" w:color="auto" w:fill="FFFFFF"/>
          <w:lang w:val="ro-RO"/>
        </w:rPr>
        <w:t xml:space="preserve"> </w:t>
      </w:r>
      <w:r w:rsidR="000508AC">
        <w:rPr>
          <w:rFonts w:ascii="Times New Roman" w:hAnsi="Times New Roman" w:cs="Times New Roman"/>
          <w:sz w:val="24"/>
          <w:szCs w:val="24"/>
          <w:shd w:val="clear" w:color="auto" w:fill="FFFFFF"/>
          <w:lang w:val="ro-RO"/>
        </w:rPr>
        <w:t xml:space="preserve">de tratamentele </w:t>
      </w:r>
      <w:r w:rsidRPr="00C75B31">
        <w:rPr>
          <w:rFonts w:ascii="Times New Roman" w:hAnsi="Times New Roman" w:cs="Times New Roman"/>
          <w:sz w:val="24"/>
          <w:szCs w:val="24"/>
          <w:shd w:val="clear" w:color="auto" w:fill="FFFFFF"/>
          <w:lang w:val="ro-RO"/>
        </w:rPr>
        <w:t>executate de pe aliniamentul stradal al căilor publice cu utilaje de mare capacitate generatoare de ceață rece sau caldă montate pe autovehicule;</w:t>
      </w:r>
      <w:r w:rsidR="0095565D">
        <w:rPr>
          <w:rFonts w:ascii="Times New Roman" w:hAnsi="Times New Roman" w:cs="Times New Roman"/>
          <w:sz w:val="24"/>
          <w:szCs w:val="24"/>
          <w:shd w:val="clear" w:color="auto" w:fill="FFFFFF"/>
          <w:lang w:val="ro-RO"/>
        </w:rPr>
        <w:t xml:space="preserve"> </w:t>
      </w:r>
    </w:p>
    <w:p w14:paraId="7DF236DB" w14:textId="1BA9ECDB" w:rsidR="00CD0B61" w:rsidRPr="00C75B31" w:rsidRDefault="00012417" w:rsidP="00CD0B61">
      <w:pPr>
        <w:pStyle w:val="ListParagraph"/>
        <w:numPr>
          <w:ilvl w:val="0"/>
          <w:numId w:val="2"/>
        </w:numPr>
        <w:tabs>
          <w:tab w:val="left" w:pos="360"/>
          <w:tab w:val="left" w:pos="540"/>
          <w:tab w:val="left" w:pos="900"/>
          <w:tab w:val="left" w:pos="1350"/>
          <w:tab w:val="left" w:pos="1440"/>
        </w:tabs>
        <w:spacing w:before="120" w:after="0" w:line="36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CD0B61" w:rsidRPr="00C75B31">
        <w:rPr>
          <w:rFonts w:ascii="Times New Roman" w:hAnsi="Times New Roman" w:cs="Times New Roman"/>
          <w:sz w:val="24"/>
          <w:szCs w:val="24"/>
          <w:lang w:val="ro-RO"/>
        </w:rPr>
        <w:t>a articolul 12 alineatul (1), liter</w:t>
      </w:r>
      <w:r w:rsidR="00756289">
        <w:rPr>
          <w:rFonts w:ascii="Times New Roman" w:hAnsi="Times New Roman" w:cs="Times New Roman"/>
          <w:sz w:val="24"/>
          <w:szCs w:val="24"/>
          <w:lang w:val="ro-RO"/>
        </w:rPr>
        <w:t>ele</w:t>
      </w:r>
      <w:r w:rsidR="00CD0B61" w:rsidRPr="00C75B31">
        <w:rPr>
          <w:rFonts w:ascii="Times New Roman" w:hAnsi="Times New Roman" w:cs="Times New Roman"/>
          <w:sz w:val="24"/>
          <w:szCs w:val="24"/>
          <w:lang w:val="ro-RO"/>
        </w:rPr>
        <w:t xml:space="preserve"> b) și c) se modifică și vor avea următorul cuprins:</w:t>
      </w:r>
    </w:p>
    <w:p w14:paraId="502F7814" w14:textId="06DAC119" w:rsidR="00CD0B61" w:rsidRDefault="00CD0B61" w:rsidP="00C43B7A">
      <w:pPr>
        <w:pStyle w:val="ListParagraph"/>
        <w:numPr>
          <w:ilvl w:val="0"/>
          <w:numId w:val="10"/>
        </w:numPr>
        <w:tabs>
          <w:tab w:val="left" w:pos="360"/>
          <w:tab w:val="left" w:pos="540"/>
          <w:tab w:val="left" w:pos="1350"/>
          <w:tab w:val="left" w:pos="1440"/>
          <w:tab w:val="left" w:pos="1620"/>
        </w:tabs>
        <w:spacing w:before="120" w:after="0" w:line="360" w:lineRule="auto"/>
        <w:ind w:left="1260"/>
        <w:jc w:val="both"/>
        <w:rPr>
          <w:rFonts w:ascii="Times New Roman" w:hAnsi="Times New Roman" w:cs="Times New Roman"/>
          <w:sz w:val="24"/>
          <w:szCs w:val="24"/>
          <w:lang w:val="ro-RO"/>
        </w:rPr>
      </w:pPr>
      <w:r w:rsidRPr="00C43B7A">
        <w:rPr>
          <w:rFonts w:ascii="Times New Roman" w:hAnsi="Times New Roman" w:cs="Times New Roman"/>
          <w:sz w:val="24"/>
          <w:szCs w:val="24"/>
          <w:lang w:val="ro-RO"/>
        </w:rPr>
        <w:t>pentru tratamentele de dezinfecție: tarifele corespondente aferente obiectivelor prevăzute la lit. a) pct. (i) – (vii) și, după caz, tariful de dezinfecție mijloace de transport în comun;</w:t>
      </w:r>
    </w:p>
    <w:p w14:paraId="481E6F4E" w14:textId="77777777" w:rsidR="00CD0B61" w:rsidRPr="00C43B7A" w:rsidRDefault="00CD0B61" w:rsidP="00C43B7A">
      <w:pPr>
        <w:pStyle w:val="ListParagraph"/>
        <w:numPr>
          <w:ilvl w:val="0"/>
          <w:numId w:val="10"/>
        </w:numPr>
        <w:tabs>
          <w:tab w:val="left" w:pos="360"/>
          <w:tab w:val="left" w:pos="540"/>
          <w:tab w:val="left" w:pos="1350"/>
          <w:tab w:val="left" w:pos="1440"/>
          <w:tab w:val="left" w:pos="1620"/>
        </w:tabs>
        <w:spacing w:before="120" w:after="0" w:line="360" w:lineRule="auto"/>
        <w:ind w:left="1260"/>
        <w:jc w:val="both"/>
        <w:rPr>
          <w:rFonts w:ascii="Times New Roman" w:hAnsi="Times New Roman" w:cs="Times New Roman"/>
          <w:sz w:val="24"/>
          <w:szCs w:val="24"/>
          <w:lang w:val="ro-RO"/>
        </w:rPr>
      </w:pPr>
      <w:r w:rsidRPr="00C43B7A">
        <w:rPr>
          <w:rFonts w:ascii="Times New Roman" w:hAnsi="Times New Roman" w:cs="Times New Roman"/>
          <w:sz w:val="24"/>
          <w:szCs w:val="24"/>
          <w:lang w:val="ro-RO"/>
        </w:rPr>
        <w:t>pentru tratamentele de deratizare: tarifele corespondente aferente obiectivelor prevăzute la lit. a) pct. (i) – (vii) și tariful de deratizare pentru zonele demolate și/sau nelocuite.</w:t>
      </w:r>
    </w:p>
    <w:p w14:paraId="52A0ED95" w14:textId="591031BC" w:rsidR="00CD0B61" w:rsidRPr="00C75B31" w:rsidRDefault="00CD0B61" w:rsidP="00CD0B61">
      <w:pPr>
        <w:tabs>
          <w:tab w:val="left" w:pos="360"/>
          <w:tab w:val="left" w:pos="1260"/>
        </w:tabs>
        <w:spacing w:after="0" w:line="360" w:lineRule="auto"/>
        <w:ind w:firstLine="900"/>
        <w:jc w:val="both"/>
        <w:rPr>
          <w:rFonts w:ascii="Times New Roman" w:hAnsi="Times New Roman" w:cs="Times New Roman"/>
          <w:sz w:val="24"/>
          <w:szCs w:val="24"/>
          <w:lang w:val="ro-RO"/>
        </w:rPr>
      </w:pPr>
      <w:r w:rsidRPr="00C75B31">
        <w:rPr>
          <w:rFonts w:ascii="Times New Roman" w:hAnsi="Times New Roman" w:cs="Times New Roman"/>
          <w:sz w:val="24"/>
          <w:szCs w:val="24"/>
          <w:lang w:val="ro-RO"/>
        </w:rPr>
        <w:t>4</w:t>
      </w:r>
      <w:r w:rsidRPr="00C75B31">
        <w:rPr>
          <w:rFonts w:ascii="Times New Roman" w:hAnsi="Times New Roman" w:cs="Times New Roman"/>
          <w:b/>
          <w:bCs/>
          <w:sz w:val="24"/>
          <w:szCs w:val="24"/>
          <w:lang w:val="ro-RO"/>
        </w:rPr>
        <w:t xml:space="preserve">. </w:t>
      </w:r>
      <w:r w:rsidR="00012417">
        <w:rPr>
          <w:rFonts w:ascii="Times New Roman" w:hAnsi="Times New Roman" w:cs="Times New Roman"/>
          <w:sz w:val="24"/>
          <w:szCs w:val="24"/>
          <w:lang w:val="ro-RO"/>
        </w:rPr>
        <w:t>L</w:t>
      </w:r>
      <w:r w:rsidRPr="00C75B31">
        <w:rPr>
          <w:rFonts w:ascii="Times New Roman" w:hAnsi="Times New Roman" w:cs="Times New Roman"/>
          <w:sz w:val="24"/>
          <w:szCs w:val="24"/>
          <w:lang w:val="ro-RO"/>
        </w:rPr>
        <w:t>a articolul 25, alineatele (1) și (2) se modifică și v</w:t>
      </w:r>
      <w:r w:rsidR="00756289">
        <w:rPr>
          <w:rFonts w:ascii="Times New Roman" w:hAnsi="Times New Roman" w:cs="Times New Roman"/>
          <w:sz w:val="24"/>
          <w:szCs w:val="24"/>
          <w:lang w:val="ro-RO"/>
        </w:rPr>
        <w:t>or</w:t>
      </w:r>
      <w:r w:rsidRPr="00C75B31">
        <w:rPr>
          <w:rFonts w:ascii="Times New Roman" w:hAnsi="Times New Roman" w:cs="Times New Roman"/>
          <w:sz w:val="24"/>
          <w:szCs w:val="24"/>
          <w:lang w:val="ro-RO"/>
        </w:rPr>
        <w:t xml:space="preserve"> avea următorul cuprins:</w:t>
      </w:r>
    </w:p>
    <w:p w14:paraId="02C75CB4" w14:textId="77777777" w:rsidR="00CD0B61" w:rsidRPr="00C75B31" w:rsidRDefault="00CD0B61" w:rsidP="00CD0B61">
      <w:pPr>
        <w:tabs>
          <w:tab w:val="left" w:pos="360"/>
          <w:tab w:val="left" w:pos="1260"/>
        </w:tabs>
        <w:spacing w:after="0" w:line="360" w:lineRule="auto"/>
        <w:ind w:firstLine="900"/>
        <w:jc w:val="both"/>
        <w:rPr>
          <w:rFonts w:ascii="Times New Roman" w:hAnsi="Times New Roman" w:cs="Times New Roman"/>
          <w:sz w:val="24"/>
          <w:szCs w:val="24"/>
          <w:lang w:val="ro-RO"/>
        </w:rPr>
      </w:pPr>
      <w:r w:rsidRPr="00C75B31">
        <w:rPr>
          <w:rFonts w:ascii="Times New Roman" w:hAnsi="Times New Roman" w:cs="Times New Roman"/>
          <w:sz w:val="24"/>
          <w:szCs w:val="24"/>
          <w:lang w:val="ro-RO"/>
        </w:rPr>
        <w:t xml:space="preserve">(1) Tariful pentru activitatea de operare a centrelor de colectare prin aport voluntar se ofertează și se fundamentează de către operatori în conformitate cu fișa de fundamentare pe elemente de cheltuieli, prevăzută în anexa nr. 1 d) la prezentele norme metodologice, prin luarea în considerare a cheltuielilor aferente activității prestate, inclusiv a cheltuielilor cu alte activități de salubrizare desfășurate de operatori pe fluxul deșeurilor municipale, precum cheltuielile cu depozitarea, cheltuielile cu sortarea și/sau alte cheltuieli cu tratarea deșeurilor,  fără a se include în structura tarifului </w:t>
      </w:r>
      <w:r w:rsidRPr="00C75B31">
        <w:rPr>
          <w:rFonts w:ascii="Times New Roman" w:hAnsi="Times New Roman" w:cs="Times New Roman"/>
          <w:sz w:val="24"/>
          <w:szCs w:val="24"/>
          <w:shd w:val="clear" w:color="auto" w:fill="FFFFFF"/>
          <w:lang w:val="ro-RO"/>
        </w:rPr>
        <w:t xml:space="preserve">cheltuielile cu contribuția pentru economia circulară. </w:t>
      </w:r>
    </w:p>
    <w:p w14:paraId="353C0443" w14:textId="12F43726" w:rsidR="00CD0B61" w:rsidRDefault="00CD0B61" w:rsidP="00CD0B61">
      <w:pPr>
        <w:pStyle w:val="ListParagraph"/>
        <w:numPr>
          <w:ilvl w:val="0"/>
          <w:numId w:val="6"/>
        </w:numPr>
        <w:tabs>
          <w:tab w:val="left" w:pos="360"/>
          <w:tab w:val="left" w:pos="1260"/>
        </w:tabs>
        <w:spacing w:before="120" w:after="0" w:line="360" w:lineRule="auto"/>
        <w:ind w:left="0" w:firstLine="900"/>
        <w:jc w:val="both"/>
        <w:rPr>
          <w:rFonts w:ascii="Times New Roman" w:hAnsi="Times New Roman" w:cs="Times New Roman"/>
          <w:sz w:val="24"/>
          <w:szCs w:val="24"/>
          <w:lang w:val="ro-RO"/>
        </w:rPr>
      </w:pPr>
      <w:r w:rsidRPr="00C75B31">
        <w:rPr>
          <w:rFonts w:ascii="Times New Roman" w:hAnsi="Times New Roman" w:cs="Times New Roman"/>
          <w:sz w:val="24"/>
          <w:szCs w:val="24"/>
          <w:shd w:val="clear" w:color="auto" w:fill="FFFFFF"/>
          <w:lang w:val="ro-RO"/>
        </w:rPr>
        <w:t xml:space="preserve">Pentru </w:t>
      </w:r>
      <w:r w:rsidRPr="00C75B31">
        <w:rPr>
          <w:rFonts w:ascii="Times New Roman" w:hAnsi="Times New Roman" w:cs="Times New Roman"/>
          <w:sz w:val="24"/>
          <w:szCs w:val="24"/>
          <w:lang w:val="ro-RO"/>
        </w:rPr>
        <w:t xml:space="preserve">activitatea de operare a centrelor de colectare prin aport voluntar,  cheltuielile cu contribuția pentru economia circulară </w:t>
      </w:r>
      <w:r w:rsidRPr="00C75B31">
        <w:rPr>
          <w:rFonts w:ascii="Times New Roman" w:hAnsi="Times New Roman" w:cs="Times New Roman"/>
          <w:sz w:val="24"/>
          <w:szCs w:val="24"/>
          <w:shd w:val="clear" w:color="auto" w:fill="FFFFFF"/>
          <w:lang w:val="ro-RO"/>
        </w:rPr>
        <w:t>se evidențiază distinct pe factura emisă de operator și se calculează la</w:t>
      </w:r>
      <w:r w:rsidRPr="00C75B31">
        <w:rPr>
          <w:rFonts w:ascii="Times New Roman" w:hAnsi="Times New Roman" w:cs="Times New Roman"/>
          <w:sz w:val="24"/>
          <w:szCs w:val="24"/>
          <w:lang w:val="ro-RO"/>
        </w:rPr>
        <w:t xml:space="preserve"> cantitatea totală de deșeuri reziduale și reziduuri eliminată la depozit, fără aplicarea vreunui indicator de performanță.</w:t>
      </w:r>
    </w:p>
    <w:p w14:paraId="3DF4611B" w14:textId="248ACD8B" w:rsidR="009B1003" w:rsidRDefault="00012417" w:rsidP="009B1003">
      <w:pPr>
        <w:pStyle w:val="ListParagraph"/>
        <w:numPr>
          <w:ilvl w:val="0"/>
          <w:numId w:val="7"/>
        </w:numPr>
        <w:tabs>
          <w:tab w:val="left" w:pos="360"/>
          <w:tab w:val="left" w:pos="1260"/>
        </w:tabs>
        <w:spacing w:before="120" w:after="0" w:line="360" w:lineRule="auto"/>
        <w:ind w:hanging="72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9B1003">
        <w:rPr>
          <w:rFonts w:ascii="Times New Roman" w:hAnsi="Times New Roman" w:cs="Times New Roman"/>
          <w:sz w:val="24"/>
          <w:szCs w:val="24"/>
          <w:lang w:val="ro-RO"/>
        </w:rPr>
        <w:t>a articolul 29, alineatul (11) se modifică și va avea următorul cuprins:</w:t>
      </w:r>
    </w:p>
    <w:p w14:paraId="65546648" w14:textId="3B171882" w:rsidR="009B1003" w:rsidRDefault="009B1003" w:rsidP="009B1003">
      <w:pPr>
        <w:pStyle w:val="ListParagraph"/>
        <w:numPr>
          <w:ilvl w:val="0"/>
          <w:numId w:val="9"/>
        </w:numPr>
        <w:tabs>
          <w:tab w:val="left" w:pos="1396"/>
        </w:tabs>
        <w:spacing w:before="120" w:after="120" w:line="360" w:lineRule="auto"/>
        <w:ind w:left="0" w:firstLine="900"/>
        <w:jc w:val="both"/>
        <w:rPr>
          <w:rFonts w:ascii="Times New Roman" w:hAnsi="Times New Roman" w:cs="Times New Roman"/>
          <w:sz w:val="24"/>
          <w:szCs w:val="24"/>
          <w:shd w:val="clear" w:color="auto" w:fill="FFFFFF"/>
          <w:lang w:val="ro-RO"/>
        </w:rPr>
      </w:pPr>
      <w:r w:rsidRPr="009B1003">
        <w:rPr>
          <w:rFonts w:ascii="Times New Roman" w:hAnsi="Times New Roman" w:cs="Times New Roman"/>
          <w:sz w:val="24"/>
          <w:szCs w:val="24"/>
          <w:shd w:val="clear" w:color="auto" w:fill="FFFFFF"/>
          <w:lang w:val="ro-RO"/>
        </w:rPr>
        <w:lastRenderedPageBreak/>
        <w:t>În situația în care operatorul desfășoară mai multe activități, cota de cheltuieli indirecte, precum și cota din cheltuielile generale ale operatorului se repartizează pe fiecare element de cheltuieli, proporțional cu ponderea acestui element în total cheltuieli</w:t>
      </w:r>
      <w:r w:rsidR="001C08F6">
        <w:rPr>
          <w:rFonts w:ascii="Times New Roman" w:hAnsi="Times New Roman" w:cs="Times New Roman"/>
          <w:sz w:val="24"/>
          <w:szCs w:val="24"/>
          <w:shd w:val="clear" w:color="auto" w:fill="FFFFFF"/>
          <w:lang w:val="ro-RO"/>
        </w:rPr>
        <w:t xml:space="preserve"> aferente activității/operației prestate</w:t>
      </w:r>
      <w:r w:rsidRPr="009B1003">
        <w:rPr>
          <w:rFonts w:ascii="Times New Roman" w:hAnsi="Times New Roman" w:cs="Times New Roman"/>
          <w:sz w:val="24"/>
          <w:szCs w:val="24"/>
          <w:shd w:val="clear" w:color="auto" w:fill="FFFFFF"/>
          <w:lang w:val="ro-RO"/>
        </w:rPr>
        <w:t>. Pentru aceste cheltuieli se precizează, în memoriul tehnico-economic justificativ, cheia de repartizare a acestora pe fiecare activitate</w:t>
      </w:r>
      <w:r w:rsidR="00BB3C0E">
        <w:rPr>
          <w:rFonts w:ascii="Times New Roman" w:hAnsi="Times New Roman" w:cs="Times New Roman"/>
          <w:sz w:val="24"/>
          <w:szCs w:val="24"/>
          <w:shd w:val="clear" w:color="auto" w:fill="FFFFFF"/>
          <w:lang w:val="ro-RO"/>
        </w:rPr>
        <w:t>/operațiune prestată</w:t>
      </w:r>
      <w:r w:rsidRPr="009B1003">
        <w:rPr>
          <w:rFonts w:ascii="Times New Roman" w:hAnsi="Times New Roman" w:cs="Times New Roman"/>
          <w:sz w:val="24"/>
          <w:szCs w:val="24"/>
          <w:shd w:val="clear" w:color="auto" w:fill="FFFFFF"/>
          <w:lang w:val="ro-RO"/>
        </w:rPr>
        <w:t>.</w:t>
      </w:r>
    </w:p>
    <w:p w14:paraId="3645AFFF" w14:textId="51382DA3" w:rsidR="00B356FE" w:rsidRDefault="00D810C3" w:rsidP="00E16097">
      <w:pPr>
        <w:pStyle w:val="ListParagraph"/>
        <w:numPr>
          <w:ilvl w:val="0"/>
          <w:numId w:val="7"/>
        </w:numPr>
        <w:tabs>
          <w:tab w:val="left" w:pos="1170"/>
          <w:tab w:val="left" w:pos="1396"/>
        </w:tabs>
        <w:spacing w:before="120" w:after="120" w:line="360" w:lineRule="auto"/>
        <w:ind w:left="0" w:firstLine="900"/>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A</w:t>
      </w:r>
      <w:r w:rsidR="00B356FE">
        <w:rPr>
          <w:rFonts w:ascii="Times New Roman" w:hAnsi="Times New Roman" w:cs="Times New Roman"/>
          <w:sz w:val="24"/>
          <w:szCs w:val="24"/>
          <w:shd w:val="clear" w:color="auto" w:fill="FFFFFF"/>
          <w:lang w:val="ro-RO"/>
        </w:rPr>
        <w:t>rticolul 41</w:t>
      </w:r>
      <w:r w:rsidRPr="00D810C3">
        <w:rPr>
          <w:rFonts w:ascii="Times New Roman" w:hAnsi="Times New Roman" w:cs="Times New Roman"/>
          <w:sz w:val="24"/>
          <w:szCs w:val="24"/>
          <w:shd w:val="clear" w:color="auto" w:fill="FFFFFF"/>
          <w:lang w:val="ro-RO"/>
        </w:rPr>
        <w:t xml:space="preserve"> </w:t>
      </w:r>
      <w:r>
        <w:rPr>
          <w:rFonts w:ascii="Times New Roman" w:hAnsi="Times New Roman" w:cs="Times New Roman"/>
          <w:sz w:val="24"/>
          <w:szCs w:val="24"/>
          <w:shd w:val="clear" w:color="auto" w:fill="FFFFFF"/>
          <w:lang w:val="ro-RO"/>
        </w:rPr>
        <w:t>se modifică și va avea următorul cuprins</w:t>
      </w:r>
      <w:r w:rsidR="00B356FE">
        <w:rPr>
          <w:rFonts w:ascii="Times New Roman" w:hAnsi="Times New Roman" w:cs="Times New Roman"/>
          <w:sz w:val="24"/>
          <w:szCs w:val="24"/>
          <w:shd w:val="clear" w:color="auto" w:fill="FFFFFF"/>
          <w:lang w:val="ro-RO"/>
        </w:rPr>
        <w:t>:</w:t>
      </w:r>
    </w:p>
    <w:p w14:paraId="3760F4E3" w14:textId="1D7B60A5" w:rsidR="00D810C3" w:rsidRPr="00EA4146" w:rsidRDefault="00DB11D1" w:rsidP="00EA4146">
      <w:pPr>
        <w:tabs>
          <w:tab w:val="left" w:pos="1170"/>
          <w:tab w:val="left" w:pos="1396"/>
        </w:tabs>
        <w:spacing w:before="120" w:after="120" w:line="360" w:lineRule="auto"/>
        <w:ind w:firstLine="810"/>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w:t>
      </w:r>
      <w:r w:rsidR="00A01E47">
        <w:rPr>
          <w:rFonts w:ascii="Times New Roman" w:hAnsi="Times New Roman" w:cs="Times New Roman"/>
          <w:sz w:val="24"/>
          <w:szCs w:val="24"/>
          <w:shd w:val="clear" w:color="auto" w:fill="FFFFFF"/>
          <w:lang w:val="ro-RO"/>
        </w:rPr>
        <w:t>Art. 41</w:t>
      </w:r>
      <w:r w:rsidR="00EA4146">
        <w:rPr>
          <w:rFonts w:ascii="Times New Roman" w:hAnsi="Times New Roman" w:cs="Times New Roman"/>
          <w:sz w:val="24"/>
          <w:szCs w:val="24"/>
          <w:shd w:val="clear" w:color="auto" w:fill="FFFFFF"/>
          <w:lang w:val="ro-RO"/>
        </w:rPr>
        <w:t xml:space="preserve"> – </w:t>
      </w:r>
      <w:r w:rsidR="00D810C3" w:rsidRPr="00EA4146">
        <w:rPr>
          <w:rFonts w:ascii="Times New Roman" w:hAnsi="Times New Roman" w:cs="Times New Roman"/>
          <w:sz w:val="24"/>
          <w:szCs w:val="24"/>
          <w:shd w:val="clear" w:color="auto" w:fill="FFFFFF"/>
          <w:lang w:val="ro-RO"/>
        </w:rPr>
        <w:t xml:space="preserve">În modalitatea de plată prin tarif, operatorul care se află în raporturi contractuale cu utilizatorii facturează </w:t>
      </w:r>
      <w:r w:rsidR="00EA4146" w:rsidRPr="00EA4146">
        <w:rPr>
          <w:rFonts w:ascii="Times New Roman" w:hAnsi="Times New Roman" w:cs="Times New Roman"/>
          <w:sz w:val="24"/>
          <w:szCs w:val="24"/>
          <w:shd w:val="clear" w:color="auto" w:fill="FFFFFF"/>
          <w:lang w:val="ro-RO"/>
        </w:rPr>
        <w:t xml:space="preserve">către </w:t>
      </w:r>
      <w:r w:rsidR="00D810C3" w:rsidRPr="00EA4146">
        <w:rPr>
          <w:rFonts w:ascii="Times New Roman" w:hAnsi="Times New Roman" w:cs="Times New Roman"/>
          <w:sz w:val="24"/>
          <w:szCs w:val="24"/>
          <w:shd w:val="clear" w:color="auto" w:fill="FFFFFF"/>
          <w:lang w:val="ro-RO"/>
        </w:rPr>
        <w:t>autorit</w:t>
      </w:r>
      <w:r w:rsidR="00EA4146" w:rsidRPr="00EA4146">
        <w:rPr>
          <w:rFonts w:ascii="Times New Roman" w:hAnsi="Times New Roman" w:cs="Times New Roman"/>
          <w:sz w:val="24"/>
          <w:szCs w:val="24"/>
          <w:shd w:val="clear" w:color="auto" w:fill="FFFFFF"/>
          <w:lang w:val="ro-RO"/>
        </w:rPr>
        <w:t>atea</w:t>
      </w:r>
      <w:r w:rsidR="00D810C3" w:rsidRPr="00EA4146">
        <w:rPr>
          <w:rFonts w:ascii="Times New Roman" w:hAnsi="Times New Roman" w:cs="Times New Roman"/>
          <w:sz w:val="24"/>
          <w:szCs w:val="24"/>
          <w:shd w:val="clear" w:color="auto" w:fill="FFFFFF"/>
          <w:lang w:val="ro-RO"/>
        </w:rPr>
        <w:t xml:space="preserve"> administrației publice locale</w:t>
      </w:r>
      <w:r w:rsidR="003902F3">
        <w:rPr>
          <w:rFonts w:ascii="Times New Roman" w:hAnsi="Times New Roman" w:cs="Times New Roman"/>
          <w:sz w:val="24"/>
          <w:szCs w:val="24"/>
          <w:shd w:val="clear" w:color="auto" w:fill="FFFFFF"/>
          <w:lang w:val="ro-RO"/>
        </w:rPr>
        <w:t>,</w:t>
      </w:r>
      <w:r w:rsidR="00D810C3" w:rsidRPr="00EA4146">
        <w:rPr>
          <w:rFonts w:ascii="Times New Roman" w:hAnsi="Times New Roman" w:cs="Times New Roman"/>
          <w:sz w:val="24"/>
          <w:szCs w:val="24"/>
          <w:shd w:val="clear" w:color="auto" w:fill="FFFFFF"/>
          <w:lang w:val="ro-RO"/>
        </w:rPr>
        <w:t xml:space="preserve"> în vederea acoperirii cheltuielilor cu prestarea serviciului de salubrizare către utilizatorii care nu au contract încheiat cu acesta, suma rezultată din aplicarea tarifului pentru deșeuri municipale abandonate prevăzut la art. 7 alin. (1) pct. (iv), exprimat în lei/tonă, la cantitatea lunară de deșeuri menajere abandonate, calculată potrivit formulei:</w:t>
      </w:r>
    </w:p>
    <w:p w14:paraId="12114DC1" w14:textId="60C4F7B5" w:rsidR="00B356FE" w:rsidRPr="00C43B7A" w:rsidRDefault="00B356FE" w:rsidP="007434AD">
      <w:pPr>
        <w:tabs>
          <w:tab w:val="left" w:pos="450"/>
          <w:tab w:val="left" w:pos="900"/>
          <w:tab w:val="left" w:pos="1170"/>
        </w:tabs>
        <w:spacing w:after="0" w:line="360" w:lineRule="auto"/>
        <w:jc w:val="center"/>
        <w:rPr>
          <w:rFonts w:ascii="Times New Roman" w:hAnsi="Times New Roman" w:cs="Times New Roman"/>
          <w:sz w:val="24"/>
          <w:szCs w:val="24"/>
          <w:lang w:val="ro-RO"/>
        </w:rPr>
      </w:pPr>
      <w:r w:rsidRPr="00C43B7A">
        <w:rPr>
          <w:rFonts w:ascii="Times New Roman" w:hAnsi="Times New Roman" w:cs="Times New Roman"/>
          <w:sz w:val="24"/>
          <w:szCs w:val="24"/>
          <w:lang w:val="ro-RO"/>
        </w:rPr>
        <w:t>Q menajere abandonate = Q menajere colectate – Q menajere facturată</w:t>
      </w:r>
    </w:p>
    <w:p w14:paraId="726A6EF2" w14:textId="79A0F57A" w:rsidR="0074228D" w:rsidRPr="00C43B7A" w:rsidRDefault="0074228D" w:rsidP="00B356FE">
      <w:pPr>
        <w:tabs>
          <w:tab w:val="left" w:pos="450"/>
          <w:tab w:val="left" w:pos="900"/>
          <w:tab w:val="left" w:pos="1170"/>
        </w:tabs>
        <w:spacing w:after="0" w:line="360" w:lineRule="auto"/>
        <w:jc w:val="both"/>
        <w:rPr>
          <w:rFonts w:ascii="Times New Roman" w:hAnsi="Times New Roman" w:cs="Times New Roman"/>
          <w:sz w:val="24"/>
          <w:szCs w:val="24"/>
          <w:lang w:val="ro-RO"/>
        </w:rPr>
      </w:pPr>
      <w:r w:rsidRPr="00C43B7A">
        <w:rPr>
          <w:rFonts w:ascii="Times New Roman" w:hAnsi="Times New Roman" w:cs="Times New Roman"/>
          <w:sz w:val="24"/>
          <w:szCs w:val="24"/>
          <w:lang w:val="ro-RO"/>
        </w:rPr>
        <w:t>unde:</w:t>
      </w:r>
    </w:p>
    <w:p w14:paraId="43AEDC1B" w14:textId="21F90EE9" w:rsidR="00B356FE" w:rsidRPr="00C43B7A" w:rsidRDefault="00B356FE" w:rsidP="00B356FE">
      <w:pPr>
        <w:tabs>
          <w:tab w:val="left" w:pos="450"/>
          <w:tab w:val="left" w:pos="900"/>
          <w:tab w:val="left" w:pos="1170"/>
        </w:tabs>
        <w:spacing w:after="0" w:line="360" w:lineRule="auto"/>
        <w:jc w:val="both"/>
        <w:rPr>
          <w:rFonts w:ascii="Times New Roman" w:hAnsi="Times New Roman" w:cs="Times New Roman"/>
          <w:sz w:val="24"/>
          <w:szCs w:val="24"/>
          <w:lang w:val="ro-RO"/>
        </w:rPr>
      </w:pPr>
      <w:r w:rsidRPr="00C43B7A">
        <w:rPr>
          <w:rFonts w:ascii="Times New Roman" w:hAnsi="Times New Roman" w:cs="Times New Roman"/>
          <w:sz w:val="24"/>
          <w:szCs w:val="24"/>
          <w:lang w:val="ro-RO"/>
        </w:rPr>
        <w:t>Q menajere colectate (tone/lună) – cantitatea lunară de deșeuri menajere colectată de la toți utilizatorii casnici,</w:t>
      </w:r>
      <w:r w:rsidR="001D6925" w:rsidRPr="00C43B7A">
        <w:rPr>
          <w:rFonts w:ascii="Times New Roman" w:hAnsi="Times New Roman" w:cs="Times New Roman"/>
          <w:sz w:val="24"/>
          <w:szCs w:val="24"/>
          <w:lang w:val="ro-RO"/>
        </w:rPr>
        <w:t xml:space="preserve"> cu și fără contract </w:t>
      </w:r>
      <w:r w:rsidRPr="00C43B7A">
        <w:rPr>
          <w:rFonts w:ascii="Times New Roman" w:hAnsi="Times New Roman" w:cs="Times New Roman"/>
          <w:sz w:val="24"/>
          <w:szCs w:val="24"/>
          <w:lang w:val="ro-RO"/>
        </w:rPr>
        <w:t xml:space="preserve"> </w:t>
      </w:r>
      <w:r w:rsidR="001D6925" w:rsidRPr="00C43B7A">
        <w:rPr>
          <w:rFonts w:ascii="Times New Roman" w:hAnsi="Times New Roman" w:cs="Times New Roman"/>
          <w:sz w:val="24"/>
          <w:szCs w:val="24"/>
          <w:lang w:val="ro-RO"/>
        </w:rPr>
        <w:t xml:space="preserve">încheiat cu operatorul, </w:t>
      </w:r>
      <w:r w:rsidRPr="00C43B7A">
        <w:rPr>
          <w:rFonts w:ascii="Times New Roman" w:hAnsi="Times New Roman" w:cs="Times New Roman"/>
          <w:sz w:val="24"/>
          <w:szCs w:val="24"/>
          <w:lang w:val="ro-RO"/>
        </w:rPr>
        <w:t>stabilită pe baza bonurilor de cântar eliberate de operatorii stațiilor/instalațiilor de tratare și/sau operatorul depozitului de deșeuri</w:t>
      </w:r>
      <w:r w:rsidR="006908D3">
        <w:rPr>
          <w:rFonts w:ascii="Times New Roman" w:hAnsi="Times New Roman" w:cs="Times New Roman"/>
          <w:sz w:val="24"/>
          <w:szCs w:val="24"/>
          <w:lang w:val="ro-RO"/>
        </w:rPr>
        <w:t>;</w:t>
      </w:r>
    </w:p>
    <w:p w14:paraId="263EDC97" w14:textId="07210E4C" w:rsidR="00B356FE" w:rsidRPr="00C43B7A" w:rsidRDefault="00B356FE" w:rsidP="00B356FE">
      <w:pPr>
        <w:tabs>
          <w:tab w:val="left" w:pos="450"/>
          <w:tab w:val="left" w:pos="900"/>
          <w:tab w:val="left" w:pos="1170"/>
        </w:tabs>
        <w:spacing w:after="0" w:line="360" w:lineRule="auto"/>
        <w:jc w:val="both"/>
        <w:rPr>
          <w:rFonts w:ascii="Times New Roman" w:hAnsi="Times New Roman" w:cs="Times New Roman"/>
          <w:sz w:val="24"/>
          <w:szCs w:val="24"/>
          <w:lang w:val="ro-RO"/>
        </w:rPr>
      </w:pPr>
      <w:r w:rsidRPr="00C43B7A">
        <w:rPr>
          <w:rFonts w:ascii="Times New Roman" w:hAnsi="Times New Roman" w:cs="Times New Roman"/>
          <w:sz w:val="24"/>
          <w:szCs w:val="24"/>
          <w:lang w:val="ro-RO"/>
        </w:rPr>
        <w:t xml:space="preserve">Q menajere facturată (tone/lună) </w:t>
      </w:r>
      <w:r w:rsidR="0074228D" w:rsidRPr="00C43B7A">
        <w:rPr>
          <w:rFonts w:ascii="Times New Roman" w:hAnsi="Times New Roman" w:cs="Times New Roman"/>
          <w:sz w:val="24"/>
          <w:szCs w:val="24"/>
          <w:lang w:val="ro-RO"/>
        </w:rPr>
        <w:t>-</w:t>
      </w:r>
      <w:r w:rsidRPr="00C43B7A">
        <w:rPr>
          <w:rFonts w:ascii="Times New Roman" w:hAnsi="Times New Roman" w:cs="Times New Roman"/>
          <w:sz w:val="24"/>
          <w:szCs w:val="24"/>
          <w:lang w:val="ro-RO"/>
        </w:rPr>
        <w:t xml:space="preserve"> cantitatea lunară de deșeuri menajere </w:t>
      </w:r>
      <w:r w:rsidR="001D6925" w:rsidRPr="00C43B7A">
        <w:rPr>
          <w:rFonts w:ascii="Times New Roman" w:hAnsi="Times New Roman" w:cs="Times New Roman"/>
          <w:sz w:val="24"/>
          <w:szCs w:val="24"/>
          <w:lang w:val="ro-RO"/>
        </w:rPr>
        <w:t>colectată de la</w:t>
      </w:r>
      <w:r w:rsidRPr="00C43B7A">
        <w:rPr>
          <w:rFonts w:ascii="Times New Roman" w:hAnsi="Times New Roman" w:cs="Times New Roman"/>
          <w:sz w:val="24"/>
          <w:szCs w:val="24"/>
          <w:lang w:val="ro-RO"/>
        </w:rPr>
        <w:t xml:space="preserve"> utilizatori</w:t>
      </w:r>
      <w:r w:rsidR="00EA3CF5">
        <w:rPr>
          <w:rFonts w:ascii="Times New Roman" w:hAnsi="Times New Roman" w:cs="Times New Roman"/>
          <w:sz w:val="24"/>
          <w:szCs w:val="24"/>
          <w:lang w:val="ro-RO"/>
        </w:rPr>
        <w:t>i</w:t>
      </w:r>
      <w:r w:rsidRPr="00C43B7A">
        <w:rPr>
          <w:rFonts w:ascii="Times New Roman" w:hAnsi="Times New Roman" w:cs="Times New Roman"/>
          <w:sz w:val="24"/>
          <w:szCs w:val="24"/>
          <w:lang w:val="ro-RO"/>
        </w:rPr>
        <w:t xml:space="preserve"> casnici care au contract încheiat cu operatorul,</w:t>
      </w:r>
      <w:r w:rsidR="00D17D88" w:rsidRPr="00C43B7A">
        <w:rPr>
          <w:rFonts w:ascii="Times New Roman" w:hAnsi="Times New Roman" w:cs="Times New Roman"/>
          <w:sz w:val="24"/>
          <w:szCs w:val="24"/>
          <w:lang w:val="ro-RO"/>
        </w:rPr>
        <w:t xml:space="preserve"> corespunzătoare sumelor facturate,</w:t>
      </w:r>
      <w:r w:rsidRPr="00C43B7A">
        <w:rPr>
          <w:rFonts w:ascii="Times New Roman" w:hAnsi="Times New Roman" w:cs="Times New Roman"/>
          <w:sz w:val="24"/>
          <w:szCs w:val="24"/>
          <w:lang w:val="ro-RO"/>
        </w:rPr>
        <w:t xml:space="preserve"> calculată potrivit formulei:</w:t>
      </w:r>
    </w:p>
    <w:p w14:paraId="54A14C18" w14:textId="29601E1A" w:rsidR="00B356FE" w:rsidRPr="00ED2C60" w:rsidRDefault="00B356FE" w:rsidP="004561F9">
      <w:pPr>
        <w:tabs>
          <w:tab w:val="left" w:pos="450"/>
          <w:tab w:val="left" w:pos="900"/>
          <w:tab w:val="left" w:pos="1170"/>
        </w:tabs>
        <w:spacing w:after="0" w:line="360" w:lineRule="auto"/>
        <w:jc w:val="center"/>
        <w:rPr>
          <w:rFonts w:ascii="Times New Roman" w:hAnsi="Times New Roman" w:cs="Times New Roman"/>
          <w:sz w:val="28"/>
          <w:szCs w:val="28"/>
          <w:lang w:val="ro-RO"/>
        </w:rPr>
      </w:pPr>
      <w:r w:rsidRPr="00CB6E89">
        <w:rPr>
          <w:rFonts w:ascii="Times New Roman" w:hAnsi="Times New Roman" w:cs="Times New Roman"/>
          <w:sz w:val="24"/>
          <w:szCs w:val="24"/>
          <w:lang w:val="ro-RO"/>
        </w:rPr>
        <w:t>Q menajere facturată</w:t>
      </w:r>
      <w:r w:rsidRPr="00ED2C60">
        <w:rPr>
          <w:rFonts w:ascii="Times New Roman" w:hAnsi="Times New Roman" w:cs="Times New Roman"/>
          <w:sz w:val="28"/>
          <w:szCs w:val="28"/>
          <w:lang w:val="ro-RO"/>
        </w:rPr>
        <w:t xml:space="preserve"> =</w:t>
      </w:r>
      <m:oMath>
        <m:r>
          <w:rPr>
            <w:rFonts w:ascii="Cambria Math" w:hAnsi="Cambria Math" w:cs="Times New Roman"/>
            <w:sz w:val="24"/>
            <w:szCs w:val="24"/>
            <w:lang w:val="ro-RO"/>
          </w:rPr>
          <m:t xml:space="preserve"> </m:t>
        </m:r>
        <m:r>
          <m:rPr>
            <m:sty m:val="p"/>
          </m:rPr>
          <w:rPr>
            <w:rFonts w:ascii="Cambria Math" w:hAnsi="Cambria Math" w:cs="Times New Roman"/>
            <w:sz w:val="24"/>
            <w:szCs w:val="24"/>
            <w:lang w:val="ro-RO"/>
          </w:rPr>
          <m:t>N</m:t>
        </m:r>
        <m:r>
          <w:rPr>
            <w:rFonts w:ascii="Cambria Math" w:hAnsi="Cambria Math" w:cs="Times New Roman"/>
            <w:sz w:val="24"/>
            <w:szCs w:val="24"/>
            <w:lang w:val="ro-RO"/>
          </w:rPr>
          <m:t xml:space="preserve"> </m:t>
        </m:r>
        <m:r>
          <m:rPr>
            <m:sty m:val="p"/>
          </m:rPr>
          <w:rPr>
            <w:rFonts w:ascii="Cambria Math" w:hAnsi="Cambria Math" w:cs="Times New Roman"/>
            <w:sz w:val="24"/>
            <w:szCs w:val="24"/>
            <w:lang w:val="ro-RO"/>
          </w:rPr>
          <m:t>persoane</m:t>
        </m:r>
        <m:r>
          <w:rPr>
            <w:rFonts w:ascii="Cambria Math" w:hAnsi="Cambria Math" w:cs="Times New Roman"/>
            <w:sz w:val="24"/>
            <w:szCs w:val="24"/>
            <w:lang w:val="ro-RO"/>
          </w:rPr>
          <m:t xml:space="preserve"> × </m:t>
        </m:r>
        <m:f>
          <m:fPr>
            <m:ctrlPr>
              <w:rPr>
                <w:rFonts w:ascii="Cambria Math" w:hAnsi="Cambria Math" w:cs="Times New Roman"/>
                <w:sz w:val="24"/>
                <w:szCs w:val="24"/>
                <w:lang w:val="ro-RO"/>
              </w:rPr>
            </m:ctrlPr>
          </m:fPr>
          <m:num>
            <m:r>
              <m:rPr>
                <m:sty m:val="p"/>
              </m:rPr>
              <w:rPr>
                <w:rFonts w:ascii="Cambria Math" w:hAnsi="Cambria Math" w:cs="Times New Roman"/>
                <w:sz w:val="24"/>
                <w:szCs w:val="24"/>
                <w:lang w:val="ro-RO"/>
              </w:rPr>
              <m:t>Ig ×Nzile</m:t>
            </m:r>
          </m:num>
          <m:den>
            <m:r>
              <m:rPr>
                <m:sty m:val="p"/>
              </m:rPr>
              <w:rPr>
                <w:rFonts w:ascii="Cambria Math" w:hAnsi="Cambria Math" w:cs="Times New Roman"/>
                <w:sz w:val="24"/>
                <w:szCs w:val="24"/>
                <w:lang w:val="ro-RO"/>
              </w:rPr>
              <m:t>1000</m:t>
            </m:r>
          </m:den>
        </m:f>
      </m:oMath>
    </w:p>
    <w:p w14:paraId="4AF11A3F" w14:textId="15437FCA" w:rsidR="00B356FE" w:rsidRPr="00B2491F" w:rsidRDefault="00B356FE" w:rsidP="00B356FE">
      <w:pPr>
        <w:tabs>
          <w:tab w:val="left" w:pos="450"/>
          <w:tab w:val="left" w:pos="900"/>
          <w:tab w:val="left" w:pos="1170"/>
        </w:tabs>
        <w:spacing w:after="0" w:line="360" w:lineRule="auto"/>
        <w:jc w:val="both"/>
        <w:rPr>
          <w:rFonts w:ascii="Times New Roman" w:hAnsi="Times New Roman" w:cs="Times New Roman"/>
          <w:sz w:val="24"/>
          <w:szCs w:val="24"/>
          <w:lang w:val="ro-RO"/>
        </w:rPr>
      </w:pPr>
      <w:r w:rsidRPr="00B2491F">
        <w:rPr>
          <w:rFonts w:ascii="Times New Roman" w:hAnsi="Times New Roman" w:cs="Times New Roman"/>
          <w:sz w:val="24"/>
          <w:szCs w:val="24"/>
          <w:lang w:val="ro-RO"/>
        </w:rPr>
        <w:t>unde:</w:t>
      </w:r>
    </w:p>
    <w:p w14:paraId="598A2F6A" w14:textId="7BFF1485" w:rsidR="00EA3CF5" w:rsidRPr="00B2491F" w:rsidRDefault="00EA3CF5" w:rsidP="00B356FE">
      <w:pPr>
        <w:tabs>
          <w:tab w:val="left" w:pos="450"/>
          <w:tab w:val="left" w:pos="900"/>
          <w:tab w:val="left" w:pos="1170"/>
        </w:tabs>
        <w:spacing w:after="0" w:line="360" w:lineRule="auto"/>
        <w:jc w:val="both"/>
        <w:rPr>
          <w:rFonts w:ascii="Times New Roman" w:hAnsi="Times New Roman" w:cs="Times New Roman"/>
          <w:sz w:val="24"/>
          <w:szCs w:val="24"/>
          <w:lang w:val="ro-RO"/>
        </w:rPr>
      </w:pPr>
      <w:r w:rsidRPr="00B2491F">
        <w:rPr>
          <w:rFonts w:ascii="Times New Roman" w:hAnsi="Times New Roman" w:cs="Times New Roman"/>
          <w:sz w:val="24"/>
          <w:szCs w:val="24"/>
          <w:lang w:val="ro-RO"/>
        </w:rPr>
        <w:t>N persoane – numărul total de persoane pentru care s-au emis facturi;</w:t>
      </w:r>
    </w:p>
    <w:p w14:paraId="6EED0CC9" w14:textId="7E737AC1" w:rsidR="00E91CCD" w:rsidRDefault="00E91CCD" w:rsidP="00B356FE">
      <w:pPr>
        <w:tabs>
          <w:tab w:val="left" w:pos="450"/>
          <w:tab w:val="left" w:pos="900"/>
          <w:tab w:val="left" w:pos="1170"/>
        </w:tabs>
        <w:spacing w:after="0" w:line="36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Ig</w:t>
      </w:r>
      <w:proofErr w:type="spellEnd"/>
      <w:r>
        <w:rPr>
          <w:rFonts w:ascii="Times New Roman" w:hAnsi="Times New Roman" w:cs="Times New Roman"/>
          <w:sz w:val="24"/>
          <w:szCs w:val="24"/>
          <w:lang w:val="ro-RO"/>
        </w:rPr>
        <w:t xml:space="preserve"> </w:t>
      </w:r>
      <w:r w:rsidR="004561F9">
        <w:rPr>
          <w:rFonts w:ascii="Times New Roman" w:hAnsi="Times New Roman" w:cs="Times New Roman"/>
          <w:sz w:val="24"/>
          <w:szCs w:val="24"/>
          <w:lang w:val="ro-RO"/>
        </w:rPr>
        <w:t xml:space="preserve">(kg/locuitor/zi) </w:t>
      </w:r>
      <w:r w:rsidR="00F0784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F07844">
        <w:rPr>
          <w:rFonts w:ascii="Times New Roman" w:hAnsi="Times New Roman" w:cs="Times New Roman"/>
          <w:sz w:val="24"/>
          <w:szCs w:val="24"/>
          <w:lang w:val="ro-RO"/>
        </w:rPr>
        <w:t xml:space="preserve">indicele </w:t>
      </w:r>
      <w:r w:rsidR="004561F9">
        <w:rPr>
          <w:rFonts w:ascii="Times New Roman" w:hAnsi="Times New Roman" w:cs="Times New Roman"/>
          <w:sz w:val="24"/>
          <w:szCs w:val="24"/>
          <w:lang w:val="ro-RO"/>
        </w:rPr>
        <w:t xml:space="preserve">mediu </w:t>
      </w:r>
      <w:r w:rsidR="00F07844">
        <w:rPr>
          <w:rFonts w:ascii="Times New Roman" w:hAnsi="Times New Roman" w:cs="Times New Roman"/>
          <w:sz w:val="24"/>
          <w:szCs w:val="24"/>
          <w:lang w:val="ro-RO"/>
        </w:rPr>
        <w:t>de generare al deșeurilor menajere prevăzut în caietul de sarcini;</w:t>
      </w:r>
    </w:p>
    <w:p w14:paraId="742F4F6E" w14:textId="4B11410F" w:rsidR="00F07844" w:rsidRPr="00E16097" w:rsidRDefault="00F07844" w:rsidP="00B356FE">
      <w:pPr>
        <w:tabs>
          <w:tab w:val="left" w:pos="450"/>
          <w:tab w:val="left" w:pos="900"/>
          <w:tab w:val="left" w:pos="1170"/>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 </w:t>
      </w:r>
      <w:r>
        <w:rPr>
          <w:rFonts w:ascii="Times New Roman" w:hAnsi="Times New Roman" w:cs="Times New Roman"/>
          <w:sz w:val="20"/>
          <w:szCs w:val="20"/>
          <w:lang w:val="ro-RO"/>
        </w:rPr>
        <w:t>zile</w:t>
      </w:r>
      <w:r>
        <w:rPr>
          <w:rFonts w:ascii="Times New Roman" w:hAnsi="Times New Roman" w:cs="Times New Roman"/>
          <w:sz w:val="24"/>
          <w:szCs w:val="24"/>
          <w:lang w:val="ro-RO"/>
        </w:rPr>
        <w:t xml:space="preserve"> – numărul de zile din lună</w:t>
      </w:r>
      <w:r w:rsidR="001174CC">
        <w:rPr>
          <w:rFonts w:ascii="Times New Roman" w:hAnsi="Times New Roman" w:cs="Times New Roman"/>
          <w:sz w:val="24"/>
          <w:szCs w:val="24"/>
          <w:lang w:val="ro-RO"/>
        </w:rPr>
        <w:t>.</w:t>
      </w:r>
      <w:r w:rsidR="00DB11D1">
        <w:rPr>
          <w:rFonts w:ascii="Times New Roman" w:hAnsi="Times New Roman" w:cs="Times New Roman"/>
          <w:sz w:val="24"/>
          <w:szCs w:val="24"/>
          <w:lang w:val="ro-RO"/>
        </w:rPr>
        <w:t>”</w:t>
      </w:r>
    </w:p>
    <w:p w14:paraId="5A7C51E3" w14:textId="2BCF39EE" w:rsidR="00CD0B61" w:rsidRPr="009B1003" w:rsidRDefault="00012417" w:rsidP="009B1003">
      <w:pPr>
        <w:pStyle w:val="ListParagraph"/>
        <w:numPr>
          <w:ilvl w:val="0"/>
          <w:numId w:val="7"/>
        </w:numPr>
        <w:tabs>
          <w:tab w:val="left" w:pos="900"/>
          <w:tab w:val="left" w:pos="1260"/>
          <w:tab w:val="left" w:pos="1350"/>
          <w:tab w:val="left" w:pos="1530"/>
        </w:tabs>
        <w:spacing w:before="120" w:after="0" w:line="36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L</w:t>
      </w:r>
      <w:r w:rsidR="00CD0B61" w:rsidRPr="009B1003">
        <w:rPr>
          <w:rFonts w:ascii="Times New Roman" w:hAnsi="Times New Roman" w:cs="Times New Roman"/>
          <w:sz w:val="24"/>
          <w:szCs w:val="24"/>
          <w:lang w:val="ro-RO"/>
        </w:rPr>
        <w:t xml:space="preserve">a articolul 54, după alin. (2) se introduc două noi alineate, alineatele (3) și (4) </w:t>
      </w:r>
      <w:r w:rsidR="00756289">
        <w:rPr>
          <w:rFonts w:ascii="Times New Roman" w:hAnsi="Times New Roman" w:cs="Times New Roman"/>
          <w:sz w:val="24"/>
          <w:szCs w:val="24"/>
          <w:lang w:val="ro-RO"/>
        </w:rPr>
        <w:t xml:space="preserve">și vor avea </w:t>
      </w:r>
      <w:r w:rsidR="00CD0B61" w:rsidRPr="009B1003">
        <w:rPr>
          <w:rFonts w:ascii="Times New Roman" w:hAnsi="Times New Roman" w:cs="Times New Roman"/>
          <w:sz w:val="24"/>
          <w:szCs w:val="24"/>
          <w:lang w:val="ro-RO"/>
        </w:rPr>
        <w:t xml:space="preserve"> următorul cuprins:</w:t>
      </w:r>
    </w:p>
    <w:p w14:paraId="6E5E503F" w14:textId="4CA919E7" w:rsidR="00CD0B61" w:rsidRPr="00C75B31" w:rsidRDefault="00CD0B61" w:rsidP="00CD0B61">
      <w:pPr>
        <w:pStyle w:val="ListParagraph"/>
        <w:numPr>
          <w:ilvl w:val="0"/>
          <w:numId w:val="6"/>
        </w:numPr>
        <w:tabs>
          <w:tab w:val="left" w:pos="1350"/>
          <w:tab w:val="left" w:pos="1530"/>
          <w:tab w:val="left" w:pos="1620"/>
        </w:tabs>
        <w:spacing w:before="120" w:after="0" w:line="360" w:lineRule="auto"/>
        <w:ind w:left="0" w:firstLine="900"/>
        <w:jc w:val="both"/>
        <w:rPr>
          <w:rFonts w:ascii="Times New Roman" w:hAnsi="Times New Roman" w:cs="Times New Roman"/>
          <w:sz w:val="24"/>
          <w:szCs w:val="24"/>
          <w:lang w:val="ro-RO"/>
        </w:rPr>
      </w:pPr>
      <w:r w:rsidRPr="00C75B31">
        <w:rPr>
          <w:rFonts w:ascii="Times New Roman" w:hAnsi="Times New Roman" w:cs="Times New Roman"/>
          <w:sz w:val="24"/>
          <w:szCs w:val="24"/>
          <w:lang w:val="ro-RO"/>
        </w:rPr>
        <w:t xml:space="preserve">Structura memoriului tehnico-economic justificativ din anexa nr. 4 la prezentele norme metodologice este orientativă și poate fi adaptată corespunzător în funcție de specificul activității și elementele de cheltuieli </w:t>
      </w:r>
      <w:r w:rsidR="00947DC2">
        <w:rPr>
          <w:rFonts w:ascii="Times New Roman" w:hAnsi="Times New Roman" w:cs="Times New Roman"/>
          <w:sz w:val="24"/>
          <w:szCs w:val="24"/>
          <w:lang w:val="ro-RO"/>
        </w:rPr>
        <w:t>fundamentate</w:t>
      </w:r>
      <w:r w:rsidRPr="00C75B31">
        <w:rPr>
          <w:rFonts w:ascii="Times New Roman" w:hAnsi="Times New Roman" w:cs="Times New Roman"/>
          <w:sz w:val="24"/>
          <w:szCs w:val="24"/>
          <w:lang w:val="ro-RO"/>
        </w:rPr>
        <w:t>.</w:t>
      </w:r>
    </w:p>
    <w:p w14:paraId="3BB4A19B" w14:textId="2650310D" w:rsidR="00720858" w:rsidRPr="003B7AB1" w:rsidRDefault="00720858" w:rsidP="003B7AB1">
      <w:pPr>
        <w:pStyle w:val="ListParagraph"/>
        <w:numPr>
          <w:ilvl w:val="0"/>
          <w:numId w:val="6"/>
        </w:numPr>
        <w:tabs>
          <w:tab w:val="left" w:pos="1350"/>
          <w:tab w:val="left" w:pos="1530"/>
          <w:tab w:val="left" w:pos="1620"/>
        </w:tabs>
        <w:spacing w:before="120" w:after="0" w:line="360" w:lineRule="auto"/>
        <w:ind w:left="0" w:firstLine="900"/>
        <w:jc w:val="both"/>
        <w:rPr>
          <w:rFonts w:ascii="Times New Roman" w:hAnsi="Times New Roman" w:cs="Times New Roman"/>
          <w:sz w:val="24"/>
          <w:szCs w:val="24"/>
          <w:lang w:val="ro-RO"/>
        </w:rPr>
      </w:pPr>
      <w:r w:rsidRPr="003B7AB1">
        <w:rPr>
          <w:rFonts w:ascii="Times New Roman" w:hAnsi="Times New Roman" w:cs="Times New Roman"/>
          <w:sz w:val="24"/>
          <w:szCs w:val="24"/>
          <w:lang w:val="ro-RO"/>
        </w:rPr>
        <w:t xml:space="preserve">În cazul procedurii de ajustare a tarifului/tarifelor, memoriul tehnico-economic justificativ cuprinde </w:t>
      </w:r>
      <w:r w:rsidRPr="003B7AB1">
        <w:rPr>
          <w:rFonts w:ascii="Times New Roman" w:eastAsia="Times New Roman" w:hAnsi="Times New Roman" w:cs="Times New Roman"/>
          <w:sz w:val="24"/>
          <w:szCs w:val="24"/>
          <w:lang w:val="ro-RO"/>
        </w:rPr>
        <w:t>evoluția indicelui prețului de consum total</w:t>
      </w:r>
      <w:r w:rsidR="006344FD">
        <w:rPr>
          <w:rFonts w:ascii="Times New Roman" w:eastAsia="Times New Roman" w:hAnsi="Times New Roman" w:cs="Times New Roman"/>
          <w:sz w:val="24"/>
          <w:szCs w:val="24"/>
          <w:lang w:val="ro-RO"/>
        </w:rPr>
        <w:t xml:space="preserve"> aferent perioadei de referință</w:t>
      </w:r>
      <w:r w:rsidRPr="003B7AB1">
        <w:rPr>
          <w:rFonts w:ascii="Times New Roman" w:hAnsi="Times New Roman" w:cs="Times New Roman"/>
          <w:sz w:val="24"/>
          <w:szCs w:val="24"/>
          <w:lang w:val="ro-RO"/>
        </w:rPr>
        <w:t xml:space="preserve"> și nivelul fiecărui element de cheltuială care se ajustează, fără a fi necesară fundamentarea elementelor de cheltuieli </w:t>
      </w:r>
      <w:r w:rsidR="006344FD">
        <w:rPr>
          <w:rFonts w:ascii="Times New Roman" w:hAnsi="Times New Roman" w:cs="Times New Roman"/>
          <w:sz w:val="24"/>
          <w:szCs w:val="24"/>
          <w:lang w:val="ro-RO"/>
        </w:rPr>
        <w:t>a căror ajustare nu depășește</w:t>
      </w:r>
      <w:r w:rsidRPr="003B7AB1">
        <w:rPr>
          <w:rFonts w:ascii="Times New Roman" w:hAnsi="Times New Roman" w:cs="Times New Roman"/>
          <w:sz w:val="24"/>
          <w:szCs w:val="24"/>
          <w:lang w:val="ro-RO"/>
        </w:rPr>
        <w:t xml:space="preserve"> </w:t>
      </w:r>
      <w:r w:rsidR="006C3204" w:rsidRPr="003B7AB1">
        <w:rPr>
          <w:rFonts w:ascii="Times New Roman" w:hAnsi="Times New Roman" w:cs="Times New Roman"/>
          <w:sz w:val="24"/>
          <w:szCs w:val="24"/>
          <w:lang w:val="ro-RO"/>
        </w:rPr>
        <w:t>nivelul rezultat din aplicarea parametrului de ajustare</w:t>
      </w:r>
      <w:r w:rsidR="00083A44" w:rsidRPr="003B7AB1">
        <w:rPr>
          <w:rFonts w:ascii="Times New Roman" w:hAnsi="Times New Roman" w:cs="Times New Roman"/>
          <w:sz w:val="24"/>
          <w:szCs w:val="24"/>
          <w:lang w:val="ro-RO"/>
        </w:rPr>
        <w:t>.</w:t>
      </w:r>
    </w:p>
    <w:p w14:paraId="3AD51D2F" w14:textId="6A1AC27F" w:rsidR="00A81AFE" w:rsidRDefault="00A81AFE" w:rsidP="00A81AFE">
      <w:pPr>
        <w:pStyle w:val="ListParagraph"/>
        <w:numPr>
          <w:ilvl w:val="0"/>
          <w:numId w:val="7"/>
        </w:numPr>
        <w:tabs>
          <w:tab w:val="left" w:pos="1260"/>
          <w:tab w:val="left" w:pos="1350"/>
          <w:tab w:val="left" w:pos="1530"/>
        </w:tabs>
        <w:spacing w:before="120" w:after="0" w:line="36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În anexele 1d), 2d) și 3d) la normele metodologice, p</w:t>
      </w:r>
      <w:r w:rsidR="002F2AE0">
        <w:rPr>
          <w:rFonts w:ascii="Times New Roman" w:hAnsi="Times New Roman" w:cs="Times New Roman"/>
          <w:sz w:val="24"/>
          <w:szCs w:val="24"/>
          <w:lang w:val="ro-RO"/>
        </w:rPr>
        <w:t>unctul</w:t>
      </w:r>
      <w:r>
        <w:rPr>
          <w:rFonts w:ascii="Times New Roman" w:hAnsi="Times New Roman" w:cs="Times New Roman"/>
          <w:sz w:val="24"/>
          <w:szCs w:val="24"/>
          <w:lang w:val="ro-RO"/>
        </w:rPr>
        <w:t xml:space="preserve"> V din fișa de fundamentare se elimină, iar p</w:t>
      </w:r>
      <w:r w:rsidR="002F2AE0">
        <w:rPr>
          <w:rFonts w:ascii="Times New Roman" w:hAnsi="Times New Roman" w:cs="Times New Roman"/>
          <w:sz w:val="24"/>
          <w:szCs w:val="24"/>
          <w:lang w:val="ro-RO"/>
        </w:rPr>
        <w:t>unctul</w:t>
      </w:r>
      <w:r>
        <w:rPr>
          <w:rFonts w:ascii="Times New Roman" w:hAnsi="Times New Roman" w:cs="Times New Roman"/>
          <w:sz w:val="24"/>
          <w:szCs w:val="24"/>
          <w:lang w:val="ro-RO"/>
        </w:rPr>
        <w:t xml:space="preserve"> VI se modifică și va avea următorul cuprins:</w:t>
      </w:r>
    </w:p>
    <w:p w14:paraId="248D52CC" w14:textId="163A7BB7" w:rsidR="00A81AFE" w:rsidRPr="00A81AFE" w:rsidRDefault="00DB11D1" w:rsidP="00A81AFE">
      <w:pPr>
        <w:tabs>
          <w:tab w:val="left" w:pos="1260"/>
          <w:tab w:val="left" w:pos="1350"/>
          <w:tab w:val="left" w:pos="1530"/>
        </w:tabs>
        <w:spacing w:before="120" w:after="0" w:line="36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eastAsia="en-GB"/>
        </w:rPr>
        <w:t>„</w:t>
      </w:r>
      <w:r w:rsidR="00A81AFE" w:rsidRPr="00A81AFE">
        <w:rPr>
          <w:rFonts w:ascii="Times New Roman" w:eastAsia="Times New Roman" w:hAnsi="Times New Roman" w:cs="Times New Roman"/>
          <w:sz w:val="24"/>
          <w:szCs w:val="24"/>
          <w:lang w:val="ro-RO" w:eastAsia="en-GB"/>
        </w:rPr>
        <w:t>Valoarea totală a activității (III + IV)</w:t>
      </w:r>
      <w:r>
        <w:rPr>
          <w:rFonts w:ascii="Times New Roman" w:eastAsia="Times New Roman" w:hAnsi="Times New Roman" w:cs="Times New Roman"/>
          <w:sz w:val="24"/>
          <w:szCs w:val="24"/>
          <w:lang w:val="ro-RO" w:eastAsia="en-GB"/>
        </w:rPr>
        <w:t>”</w:t>
      </w:r>
    </w:p>
    <w:p w14:paraId="1436C397" w14:textId="32DAF782" w:rsidR="00A81AFE" w:rsidRDefault="00A81AFE" w:rsidP="00A81AFE">
      <w:pPr>
        <w:pStyle w:val="ListParagraph"/>
        <w:numPr>
          <w:ilvl w:val="0"/>
          <w:numId w:val="7"/>
        </w:numPr>
        <w:tabs>
          <w:tab w:val="left" w:pos="1260"/>
          <w:tab w:val="left" w:pos="1350"/>
          <w:tab w:val="left" w:pos="1530"/>
        </w:tabs>
        <w:spacing w:before="120" w:after="0" w:line="36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În anexele 1e) – 1i), 2e) – 2i) și 3e) – 3i) la normele metodologice, p</w:t>
      </w:r>
      <w:r w:rsidR="002F2AE0">
        <w:rPr>
          <w:rFonts w:ascii="Times New Roman" w:hAnsi="Times New Roman" w:cs="Times New Roman"/>
          <w:sz w:val="24"/>
          <w:szCs w:val="24"/>
          <w:lang w:val="ro-RO"/>
        </w:rPr>
        <w:t>unctul</w:t>
      </w:r>
      <w:r>
        <w:rPr>
          <w:rFonts w:ascii="Times New Roman" w:hAnsi="Times New Roman" w:cs="Times New Roman"/>
          <w:sz w:val="24"/>
          <w:szCs w:val="24"/>
          <w:lang w:val="ro-RO"/>
        </w:rPr>
        <w:t xml:space="preserve"> X din fișa de fundamentare se modifică și va avea următorul cuprins:</w:t>
      </w:r>
    </w:p>
    <w:p w14:paraId="25E6CC58" w14:textId="0877A0AE" w:rsidR="00A81AFE" w:rsidRPr="00ED2C60" w:rsidRDefault="00DB11D1" w:rsidP="00ED2C60">
      <w:pPr>
        <w:tabs>
          <w:tab w:val="left" w:pos="1260"/>
          <w:tab w:val="left" w:pos="1350"/>
          <w:tab w:val="left" w:pos="1530"/>
        </w:tabs>
        <w:spacing w:before="120"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DB11D1">
        <w:rPr>
          <w:rFonts w:ascii="Times New Roman" w:hAnsi="Times New Roman" w:cs="Times New Roman"/>
          <w:sz w:val="24"/>
          <w:szCs w:val="24"/>
          <w:lang w:val="ro-RO"/>
        </w:rPr>
        <w:t>Tarif utilizatori casnici (IX x VII)/(VIII x 12)</w:t>
      </w:r>
      <w:r>
        <w:rPr>
          <w:rFonts w:ascii="Times New Roman" w:hAnsi="Times New Roman" w:cs="Times New Roman"/>
          <w:sz w:val="24"/>
          <w:szCs w:val="24"/>
          <w:lang w:val="ro-RO"/>
        </w:rPr>
        <w:t>”</w:t>
      </w:r>
    </w:p>
    <w:p w14:paraId="06FE2E81" w14:textId="77777777" w:rsidR="0047721A" w:rsidRPr="00C75B31" w:rsidRDefault="0047721A" w:rsidP="0047721A">
      <w:pPr>
        <w:spacing w:after="120"/>
        <w:jc w:val="both"/>
        <w:rPr>
          <w:rFonts w:ascii="Times New Roman" w:hAnsi="Times New Roman" w:cs="Times New Roman"/>
          <w:sz w:val="24"/>
          <w:szCs w:val="24"/>
          <w:lang w:val="ro-RO"/>
        </w:rPr>
      </w:pPr>
      <w:bookmarkStart w:id="5" w:name="AII"/>
      <w:r w:rsidRPr="00C75B31">
        <w:rPr>
          <w:rFonts w:ascii="Times New Roman" w:hAnsi="Times New Roman" w:cs="Times New Roman"/>
          <w:sz w:val="24"/>
          <w:szCs w:val="24"/>
          <w:lang w:val="ro-RO"/>
        </w:rPr>
        <w:t>ART. II</w:t>
      </w:r>
      <w:bookmarkEnd w:id="5"/>
    </w:p>
    <w:p w14:paraId="1E504F58" w14:textId="2E8A341E" w:rsidR="00CD0B61" w:rsidRPr="00C75B31" w:rsidRDefault="0047721A" w:rsidP="00C75B31">
      <w:pPr>
        <w:spacing w:after="120"/>
        <w:ind w:firstLine="900"/>
        <w:jc w:val="both"/>
        <w:rPr>
          <w:rFonts w:ascii="Times New Roman" w:hAnsi="Times New Roman" w:cs="Times New Roman"/>
          <w:bCs/>
          <w:sz w:val="24"/>
          <w:szCs w:val="24"/>
          <w:lang w:val="ro-RO"/>
        </w:rPr>
      </w:pPr>
      <w:r w:rsidRPr="00C75B31">
        <w:rPr>
          <w:rFonts w:ascii="Times New Roman" w:hAnsi="Times New Roman" w:cs="Times New Roman"/>
          <w:sz w:val="24"/>
          <w:szCs w:val="24"/>
          <w:lang w:val="ro-RO"/>
        </w:rPr>
        <w:t>Prezentul ordin se publică în Monitorul Oficial al României, Partea I.</w:t>
      </w:r>
    </w:p>
    <w:p w14:paraId="1B874C50" w14:textId="77777777" w:rsidR="00022263" w:rsidRPr="00C75B31" w:rsidRDefault="00022263" w:rsidP="00022263">
      <w:pPr>
        <w:spacing w:after="120"/>
        <w:jc w:val="center"/>
        <w:rPr>
          <w:rFonts w:ascii="Times New Roman" w:hAnsi="Times New Roman" w:cs="Times New Roman"/>
          <w:bCs/>
          <w:sz w:val="24"/>
          <w:szCs w:val="24"/>
          <w:lang w:val="ro-RO"/>
        </w:rPr>
      </w:pPr>
    </w:p>
    <w:p w14:paraId="576C9E65" w14:textId="77777777" w:rsidR="00012417" w:rsidRPr="00827539" w:rsidRDefault="00012417" w:rsidP="00012417">
      <w:pPr>
        <w:jc w:val="center"/>
        <w:rPr>
          <w:rFonts w:ascii="Times New Roman" w:hAnsi="Times New Roman" w:cs="Times New Roman"/>
          <w:sz w:val="24"/>
          <w:szCs w:val="24"/>
          <w:lang w:val="ro-RO"/>
        </w:rPr>
      </w:pPr>
      <w:r w:rsidRPr="00827539">
        <w:rPr>
          <w:rFonts w:ascii="Times New Roman" w:hAnsi="Times New Roman" w:cs="Times New Roman"/>
          <w:sz w:val="24"/>
          <w:szCs w:val="24"/>
          <w:lang w:val="ro-RO"/>
        </w:rPr>
        <w:t>Președintele Autorității Naționale de Reglementare pentru</w:t>
      </w:r>
    </w:p>
    <w:p w14:paraId="7D0574F6" w14:textId="77777777" w:rsidR="00012417" w:rsidRPr="00827539" w:rsidRDefault="00012417" w:rsidP="00012417">
      <w:pPr>
        <w:jc w:val="center"/>
        <w:rPr>
          <w:rFonts w:ascii="Times New Roman" w:hAnsi="Times New Roman" w:cs="Times New Roman"/>
          <w:sz w:val="24"/>
          <w:szCs w:val="24"/>
          <w:lang w:val="ro-RO"/>
        </w:rPr>
      </w:pPr>
      <w:r w:rsidRPr="00827539">
        <w:rPr>
          <w:rFonts w:ascii="Times New Roman" w:hAnsi="Times New Roman" w:cs="Times New Roman"/>
          <w:sz w:val="24"/>
          <w:szCs w:val="24"/>
          <w:lang w:val="ro-RO"/>
        </w:rPr>
        <w:t>Serviciile Comunitare de Utilități Publice,</w:t>
      </w:r>
    </w:p>
    <w:p w14:paraId="55650444" w14:textId="77777777" w:rsidR="00012417" w:rsidRPr="00827539" w:rsidRDefault="00012417" w:rsidP="00012417">
      <w:pPr>
        <w:jc w:val="center"/>
        <w:rPr>
          <w:rFonts w:ascii="Times New Roman" w:hAnsi="Times New Roman" w:cs="Times New Roman"/>
          <w:sz w:val="24"/>
          <w:szCs w:val="24"/>
          <w:lang w:val="ro-RO"/>
        </w:rPr>
      </w:pPr>
      <w:r w:rsidRPr="00827539">
        <w:rPr>
          <w:rFonts w:ascii="Times New Roman" w:hAnsi="Times New Roman" w:cs="Times New Roman"/>
          <w:sz w:val="24"/>
          <w:szCs w:val="24"/>
          <w:lang w:val="ro-RO"/>
        </w:rPr>
        <w:t xml:space="preserve">Ionel </w:t>
      </w:r>
      <w:proofErr w:type="spellStart"/>
      <w:r w:rsidRPr="00827539">
        <w:rPr>
          <w:rFonts w:ascii="Times New Roman" w:hAnsi="Times New Roman" w:cs="Times New Roman"/>
          <w:sz w:val="24"/>
          <w:szCs w:val="24"/>
          <w:lang w:val="ro-RO"/>
        </w:rPr>
        <w:t>Tescaru</w:t>
      </w:r>
      <w:proofErr w:type="spellEnd"/>
    </w:p>
    <w:p w14:paraId="1F618B22" w14:textId="77777777" w:rsidR="00012417" w:rsidRPr="00827539" w:rsidRDefault="00012417" w:rsidP="00012417">
      <w:pPr>
        <w:jc w:val="center"/>
        <w:rPr>
          <w:rFonts w:ascii="Times New Roman" w:hAnsi="Times New Roman" w:cs="Times New Roman"/>
          <w:sz w:val="24"/>
          <w:szCs w:val="24"/>
          <w:lang w:val="ro-RO"/>
        </w:rPr>
      </w:pPr>
    </w:p>
    <w:p w14:paraId="7C235670" w14:textId="77777777" w:rsidR="00012417" w:rsidRPr="00827539" w:rsidRDefault="00012417" w:rsidP="00012417">
      <w:pPr>
        <w:rPr>
          <w:rFonts w:ascii="Times New Roman" w:hAnsi="Times New Roman" w:cs="Times New Roman"/>
          <w:sz w:val="24"/>
          <w:szCs w:val="24"/>
          <w:lang w:val="ro-RO"/>
        </w:rPr>
      </w:pPr>
      <w:r w:rsidRPr="00827539">
        <w:rPr>
          <w:rFonts w:ascii="Times New Roman" w:hAnsi="Times New Roman" w:cs="Times New Roman"/>
          <w:sz w:val="24"/>
          <w:szCs w:val="24"/>
          <w:lang w:val="ro-RO"/>
        </w:rPr>
        <w:t xml:space="preserve">București </w:t>
      </w:r>
    </w:p>
    <w:p w14:paraId="72B804A4" w14:textId="77777777" w:rsidR="00012417" w:rsidRPr="00827539" w:rsidRDefault="00012417" w:rsidP="00012417">
      <w:pPr>
        <w:rPr>
          <w:rFonts w:ascii="Times New Roman" w:hAnsi="Times New Roman" w:cs="Times New Roman"/>
          <w:sz w:val="24"/>
          <w:szCs w:val="24"/>
          <w:lang w:val="ro-RO"/>
        </w:rPr>
      </w:pPr>
      <w:r w:rsidRPr="00827539">
        <w:rPr>
          <w:rFonts w:ascii="Times New Roman" w:hAnsi="Times New Roman" w:cs="Times New Roman"/>
          <w:sz w:val="24"/>
          <w:szCs w:val="24"/>
          <w:lang w:val="ro-RO"/>
        </w:rPr>
        <w:t>Nr................................</w:t>
      </w:r>
    </w:p>
    <w:p w14:paraId="7271FC36" w14:textId="77777777" w:rsidR="00CE067B" w:rsidRPr="00827539" w:rsidRDefault="00CE067B">
      <w:pPr>
        <w:rPr>
          <w:rFonts w:ascii="Times New Roman" w:hAnsi="Times New Roman" w:cs="Times New Roman"/>
          <w:sz w:val="24"/>
          <w:szCs w:val="24"/>
        </w:rPr>
      </w:pPr>
    </w:p>
    <w:sectPr w:rsidR="00CE067B" w:rsidRPr="00827539" w:rsidSect="00C75B3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69"/>
    <w:multiLevelType w:val="hybridMultilevel"/>
    <w:tmpl w:val="88CA0CBA"/>
    <w:lvl w:ilvl="0" w:tplc="B5EA79F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385FD1"/>
    <w:multiLevelType w:val="hybridMultilevel"/>
    <w:tmpl w:val="45D8F6EE"/>
    <w:lvl w:ilvl="0" w:tplc="7576C126">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11E72"/>
    <w:multiLevelType w:val="hybridMultilevel"/>
    <w:tmpl w:val="5C36EE78"/>
    <w:lvl w:ilvl="0" w:tplc="224E91B2">
      <w:start w:val="1"/>
      <w:numFmt w:val="decimal"/>
      <w:lvlText w:val="(%1)"/>
      <w:lvlJc w:val="left"/>
      <w:pPr>
        <w:ind w:left="4590" w:hanging="360"/>
      </w:pPr>
      <w:rPr>
        <w:rFonts w:hint="default"/>
        <w:color w:val="auto"/>
      </w:rPr>
    </w:lvl>
    <w:lvl w:ilvl="1" w:tplc="B52C10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B07A1"/>
    <w:multiLevelType w:val="hybridMultilevel"/>
    <w:tmpl w:val="0E448560"/>
    <w:lvl w:ilvl="0" w:tplc="D1A689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465F"/>
    <w:multiLevelType w:val="hybridMultilevel"/>
    <w:tmpl w:val="BE64AA6C"/>
    <w:lvl w:ilvl="0" w:tplc="90C41E58">
      <w:start w:val="1"/>
      <w:numFmt w:val="decimal"/>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E6756"/>
    <w:multiLevelType w:val="hybridMultilevel"/>
    <w:tmpl w:val="1E00394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A60FD"/>
    <w:multiLevelType w:val="hybridMultilevel"/>
    <w:tmpl w:val="EBAE1A7E"/>
    <w:lvl w:ilvl="0" w:tplc="A1DE38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E1E2264"/>
    <w:multiLevelType w:val="hybridMultilevel"/>
    <w:tmpl w:val="A07C392E"/>
    <w:lvl w:ilvl="0" w:tplc="FCA8614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A48FA"/>
    <w:multiLevelType w:val="hybridMultilevel"/>
    <w:tmpl w:val="AAF05E92"/>
    <w:lvl w:ilvl="0" w:tplc="5152433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36345"/>
    <w:multiLevelType w:val="hybridMultilevel"/>
    <w:tmpl w:val="2CEA72CC"/>
    <w:lvl w:ilvl="0" w:tplc="36ACC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C232293"/>
    <w:multiLevelType w:val="hybridMultilevel"/>
    <w:tmpl w:val="F320A660"/>
    <w:lvl w:ilvl="0" w:tplc="BEA42C46">
      <w:start w:val="5"/>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F3F5C9E"/>
    <w:multiLevelType w:val="hybridMultilevel"/>
    <w:tmpl w:val="68FAC182"/>
    <w:lvl w:ilvl="0" w:tplc="3B98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8758759">
    <w:abstractNumId w:val="11"/>
  </w:num>
  <w:num w:numId="2" w16cid:durableId="381827427">
    <w:abstractNumId w:val="4"/>
  </w:num>
  <w:num w:numId="3" w16cid:durableId="955067910">
    <w:abstractNumId w:val="3"/>
  </w:num>
  <w:num w:numId="4" w16cid:durableId="1393575843">
    <w:abstractNumId w:val="0"/>
  </w:num>
  <w:num w:numId="5" w16cid:durableId="112873717">
    <w:abstractNumId w:val="1"/>
  </w:num>
  <w:num w:numId="6" w16cid:durableId="244611812">
    <w:abstractNumId w:val="7"/>
  </w:num>
  <w:num w:numId="7" w16cid:durableId="1578322173">
    <w:abstractNumId w:val="10"/>
  </w:num>
  <w:num w:numId="8" w16cid:durableId="1022704651">
    <w:abstractNumId w:val="2"/>
  </w:num>
  <w:num w:numId="9" w16cid:durableId="609044935">
    <w:abstractNumId w:val="8"/>
  </w:num>
  <w:num w:numId="10" w16cid:durableId="1171260699">
    <w:abstractNumId w:val="5"/>
  </w:num>
  <w:num w:numId="11" w16cid:durableId="967127720">
    <w:abstractNumId w:val="9"/>
  </w:num>
  <w:num w:numId="12" w16cid:durableId="1060245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5A"/>
    <w:rsid w:val="00012417"/>
    <w:rsid w:val="00022263"/>
    <w:rsid w:val="000508AC"/>
    <w:rsid w:val="00060B25"/>
    <w:rsid w:val="00083A44"/>
    <w:rsid w:val="00095647"/>
    <w:rsid w:val="000A4688"/>
    <w:rsid w:val="001174CC"/>
    <w:rsid w:val="001467B4"/>
    <w:rsid w:val="0015424E"/>
    <w:rsid w:val="001C08F6"/>
    <w:rsid w:val="001D6925"/>
    <w:rsid w:val="00226081"/>
    <w:rsid w:val="00256CE7"/>
    <w:rsid w:val="002F2AE0"/>
    <w:rsid w:val="003902F3"/>
    <w:rsid w:val="003B7AB1"/>
    <w:rsid w:val="003D23D0"/>
    <w:rsid w:val="003D38B1"/>
    <w:rsid w:val="004228B1"/>
    <w:rsid w:val="004430A5"/>
    <w:rsid w:val="00445603"/>
    <w:rsid w:val="004561F9"/>
    <w:rsid w:val="0047721A"/>
    <w:rsid w:val="004A1553"/>
    <w:rsid w:val="004A77E8"/>
    <w:rsid w:val="00507E59"/>
    <w:rsid w:val="00546877"/>
    <w:rsid w:val="005E0E5E"/>
    <w:rsid w:val="006344FD"/>
    <w:rsid w:val="006908D3"/>
    <w:rsid w:val="006A4DE5"/>
    <w:rsid w:val="006C3204"/>
    <w:rsid w:val="00720858"/>
    <w:rsid w:val="0074228D"/>
    <w:rsid w:val="007434AD"/>
    <w:rsid w:val="00756289"/>
    <w:rsid w:val="007971D5"/>
    <w:rsid w:val="007F23C8"/>
    <w:rsid w:val="00827539"/>
    <w:rsid w:val="008752AB"/>
    <w:rsid w:val="00884523"/>
    <w:rsid w:val="008A0A28"/>
    <w:rsid w:val="008A3361"/>
    <w:rsid w:val="008B3C31"/>
    <w:rsid w:val="00947DC2"/>
    <w:rsid w:val="0095565D"/>
    <w:rsid w:val="009B1003"/>
    <w:rsid w:val="00A01E47"/>
    <w:rsid w:val="00A81AFE"/>
    <w:rsid w:val="00AA65BD"/>
    <w:rsid w:val="00AB6F40"/>
    <w:rsid w:val="00B074EF"/>
    <w:rsid w:val="00B2491F"/>
    <w:rsid w:val="00B356FE"/>
    <w:rsid w:val="00B845DE"/>
    <w:rsid w:val="00BB3C0E"/>
    <w:rsid w:val="00C43B7A"/>
    <w:rsid w:val="00C75B31"/>
    <w:rsid w:val="00CA4C44"/>
    <w:rsid w:val="00CB4548"/>
    <w:rsid w:val="00CB63F8"/>
    <w:rsid w:val="00CB6E89"/>
    <w:rsid w:val="00CD09F5"/>
    <w:rsid w:val="00CD0B61"/>
    <w:rsid w:val="00CD6C5D"/>
    <w:rsid w:val="00CE067B"/>
    <w:rsid w:val="00D10A79"/>
    <w:rsid w:val="00D17D88"/>
    <w:rsid w:val="00D810C3"/>
    <w:rsid w:val="00DB11D1"/>
    <w:rsid w:val="00DD4315"/>
    <w:rsid w:val="00E026C1"/>
    <w:rsid w:val="00E16097"/>
    <w:rsid w:val="00E30204"/>
    <w:rsid w:val="00E5165A"/>
    <w:rsid w:val="00E545BB"/>
    <w:rsid w:val="00E72EC5"/>
    <w:rsid w:val="00E91CCD"/>
    <w:rsid w:val="00EA3CF5"/>
    <w:rsid w:val="00EA4146"/>
    <w:rsid w:val="00ED2C60"/>
    <w:rsid w:val="00F07844"/>
    <w:rsid w:val="00FB5211"/>
    <w:rsid w:val="00FC06D4"/>
    <w:rsid w:val="00FC416F"/>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25BD"/>
  <w15:chartTrackingRefBased/>
  <w15:docId w15:val="{ECB79878-24DB-46A6-A6C3-F92029A6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6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022263"/>
  </w:style>
  <w:style w:type="character" w:customStyle="1" w:styleId="spar">
    <w:name w:val="s_par"/>
    <w:basedOn w:val="DefaultParagraphFont"/>
    <w:rsid w:val="00022263"/>
  </w:style>
  <w:style w:type="character" w:customStyle="1" w:styleId="panchor">
    <w:name w:val="panchor"/>
    <w:basedOn w:val="DefaultParagraphFont"/>
    <w:qFormat/>
    <w:rsid w:val="00022263"/>
  </w:style>
  <w:style w:type="character" w:customStyle="1" w:styleId="apple-style-span">
    <w:name w:val="apple-style-span"/>
    <w:basedOn w:val="DefaultParagraphFont"/>
    <w:qFormat/>
    <w:rsid w:val="00022263"/>
    <w:rPr>
      <w:rFonts w:cs="Times New Roman"/>
    </w:rPr>
  </w:style>
  <w:style w:type="character" w:customStyle="1" w:styleId="panchorclicked">
    <w:name w:val="panchorclicked"/>
    <w:basedOn w:val="DefaultParagraphFont"/>
    <w:rsid w:val="00022263"/>
  </w:style>
  <w:style w:type="paragraph" w:styleId="ListParagraph">
    <w:name w:val="List Paragraph"/>
    <w:aliases w:val="Heading 2_sj,Numbered Para 1,Dot pt,No Spacing1,List Paragraph Char Char Char,Indicator Text,List Paragraph1,Bullet Points,MAIN CONTENT,List Paragraph12,F5 List Paragraph,LIST OF TABLES.,Table/Figure Heading,Listeafsnit,body 2,Forth level"/>
    <w:basedOn w:val="Normal"/>
    <w:link w:val="ListParagraphChar"/>
    <w:uiPriority w:val="34"/>
    <w:qFormat/>
    <w:rsid w:val="00CD0B61"/>
    <w:pPr>
      <w:ind w:left="720"/>
      <w:contextualSpacing/>
    </w:p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CD0B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7610</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Bandoiu</dc:creator>
  <cp:keywords/>
  <dc:description/>
  <cp:lastModifiedBy>Florin Stanila</cp:lastModifiedBy>
  <cp:revision>3</cp:revision>
  <cp:lastPrinted>2023-01-12T10:08:00Z</cp:lastPrinted>
  <dcterms:created xsi:type="dcterms:W3CDTF">2023-01-12T13:09:00Z</dcterms:created>
  <dcterms:modified xsi:type="dcterms:W3CDTF">2023-01-12T13:23:00Z</dcterms:modified>
</cp:coreProperties>
</file>